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4B34" w14:textId="77777777" w:rsidR="00B40729" w:rsidRPr="007165CB" w:rsidRDefault="00B40729" w:rsidP="00B407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5CB">
        <w:rPr>
          <w:rFonts w:ascii="Times New Roman" w:hAnsi="Times New Roman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80172" wp14:editId="022C39C0">
                <wp:simplePos x="0" y="0"/>
                <wp:positionH relativeFrom="margin">
                  <wp:posOffset>5497402</wp:posOffset>
                </wp:positionH>
                <wp:positionV relativeFrom="paragraph">
                  <wp:posOffset>-205090</wp:posOffset>
                </wp:positionV>
                <wp:extent cx="935665" cy="861237"/>
                <wp:effectExtent l="0" t="0" r="0" b="0"/>
                <wp:wrapNone/>
                <wp:docPr id="140902327" name="Zone de texte 140902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665" cy="861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6238C" w14:textId="77777777" w:rsidR="00B40729" w:rsidRPr="00B9540B" w:rsidRDefault="00B40729" w:rsidP="00B40729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9540B">
                              <w:rPr>
                                <w:sz w:val="12"/>
                                <w:szCs w:val="12"/>
                              </w:rPr>
                              <w:t>Etats et constitution de la matière à l’échelle macroscopique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80172" id="_x0000_t202" coordsize="21600,21600" o:spt="202" path="m,l,21600r21600,l21600,xe">
                <v:stroke joinstyle="miter"/>
                <v:path gradientshapeok="t" o:connecttype="rect"/>
              </v:shapetype>
              <v:shape id="Zone de texte 140902327" o:spid="_x0000_s1026" type="#_x0000_t202" style="position:absolute;left:0;text-align:left;margin-left:432.85pt;margin-top:-16.15pt;width:73.65pt;height:67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4m9aAIAADwFAAAOAAAAZHJzL2Uyb0RvYy54bWysVEtvGyEQvlfqf0Dc67Wd2EksryM3katK&#10;URLVqXLGLMSrsgyFsXfdX9+BXT/k9pKqFxiYbz7myfS2qQzbKh9KsDkf9PqcKSuhKO1bzr+/LD5d&#10;cxZQ2EIYsCrnOxX47ezjh2ntJmoIazCF8oxIbJjULudrRDfJsiDXqhKhB05ZUmrwlUA6+res8KIm&#10;9spkw35/nNXgC+dBqhDo9r5V8lni11pJfNI6KGQm5+QbptWndRXXbDYVkzcv3LqUnRviH7yoRGnp&#10;0QPVvUDBNr78g6oqpYcAGnsSqgy0LqVKMVA0g/5ZNMu1cCrFQskJ7pCm8P9o5eN26Z49w+YzNFTA&#10;mJDahUmgyxhPo30Vd/KUkZ5SuDukTTXIJF3eXIzG4xFnklTX48Hw4iqyZEdj5wN+UVCxKOTcU1VS&#10;ssT2IWAL3UPiWxYWpTGpMsayOufji1E/GRw0RG5sxKpU447m6HiScGdUxBj7TWlWFsn/eJG6S90Z&#10;z7aC+kJIqSym0BMvoSNKkxPvMezwR6/eY9zGsX8ZLB6Mq9KCT9GfuV382LusWzzl/CTuKGKzarqC&#10;rqDYUZ09tCMQnFyUVI0HEfBZeOp5Ki3NMT7Rog1Q1qGTOFuD//W3+4inViQtZzXNUM7Dz43wijPz&#10;1VKT3gwuL+PQpcPl6GpIB3+qWZ1q7Ka6AyrHgH4MJ5MY8Wj2ovZQvdK4z+OrpBJW0ts5x714h+1k&#10;03ch1XyeQDRmTuCDXToZqWN1Yq+9NK/Cu64hkTr5EfbTJiZnfdlio6WF+QZBl6lpY4LbrHaJpxFN&#10;bd99J/EPOD0n1PHTm/0GAAD//wMAUEsDBBQABgAIAAAAIQBzgFjK4gAAAAwBAAAPAAAAZHJzL2Rv&#10;d25yZXYueG1sTI/BasMwDIbvg72DUWG31mlCu5DFKSVQBmM7tOtlNyV2k1BbzmK3zfb0c07rTUIf&#10;v74/34xGs6saXGdJwHIRAVNUW9lRI+D4uZunwJxHkqgtKQE/ysGmeHzIMZP2Rnt1PfiGhRByGQpo&#10;ve8zzl3dKoNuYXtF4Xayg0Ef1qHhcsBbCDeax1G05gY7Ch9a7FXZqvp8uBgBb+XuA/dVbNJfXb6+&#10;n7b99/FrJcTTbNy+APNq9P8wTPpBHYrgVNkLSce0gHS9eg6ogHkSJ8AmIlomoV41TUkCvMj5fYni&#10;DwAA//8DAFBLAQItABQABgAIAAAAIQC2gziS/gAAAOEBAAATAAAAAAAAAAAAAAAAAAAAAABbQ29u&#10;dGVudF9UeXBlc10ueG1sUEsBAi0AFAAGAAgAAAAhADj9If/WAAAAlAEAAAsAAAAAAAAAAAAAAAAA&#10;LwEAAF9yZWxzLy5yZWxzUEsBAi0AFAAGAAgAAAAhANrvib1oAgAAPAUAAA4AAAAAAAAAAAAAAAAA&#10;LgIAAGRycy9lMm9Eb2MueG1sUEsBAi0AFAAGAAgAAAAhAHOAWMriAAAADAEAAA8AAAAAAAAAAAAA&#10;AAAAwgQAAGRycy9kb3ducmV2LnhtbFBLBQYAAAAABAAEAPMAAADRBQAAAAA=&#10;" filled="f" stroked="f" strokeweight=".5pt">
                <v:textbox>
                  <w:txbxContent>
                    <w:p w14:paraId="75A6238C" w14:textId="77777777" w:rsidR="00B40729" w:rsidRPr="00B9540B" w:rsidRDefault="00B40729" w:rsidP="00B40729">
                      <w:pPr>
                        <w:spacing w:after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B9540B">
                        <w:rPr>
                          <w:sz w:val="12"/>
                          <w:szCs w:val="12"/>
                        </w:rPr>
                        <w:t>Etats et constitution de la matière à l’échelle macroscopique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65CB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02B3A" wp14:editId="02773DEC">
                <wp:simplePos x="0" y="0"/>
                <wp:positionH relativeFrom="column">
                  <wp:posOffset>5520055</wp:posOffset>
                </wp:positionH>
                <wp:positionV relativeFrom="paragraph">
                  <wp:posOffset>-221615</wp:posOffset>
                </wp:positionV>
                <wp:extent cx="866775" cy="400050"/>
                <wp:effectExtent l="19050" t="0" r="47625" b="38100"/>
                <wp:wrapNone/>
                <wp:docPr id="995761976" name="Bulle ro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E99F0" w14:textId="77777777" w:rsidR="00B40729" w:rsidRDefault="00B40729" w:rsidP="00B407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02B3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" o:spid="_x0000_s1027" type="#_x0000_t63" style="position:absolute;left:0;text-align:left;margin-left:434.65pt;margin-top:-17.45pt;width:68.25pt;height:3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tb7VEOMAAAALAQAADwAAAGRycy9kb3ducmV2LnhtbEyPwU7DMBBE70j8g7VI3Fq7SVvSkE2FKoHg&#10;gkSpVHFzY5OkjddR7DShX497guNqn2beZOvRNOysO1dbQphNBTBNhVU1lQi7z+dJAsx5SUo2ljTC&#10;j3awzm9vMpkqO9CHPm99yUIIuVQiVN63KeeuqLSRbmpbTeH3bTsjfTi7kqtODiHcNDwSYsmNrCk0&#10;VLLVm0oXp21vEPbR8Ppl3/pyMX/YvMcvl8tJHI+I93fj0yMwr0f/B8NVP6hDHpwOtiflWIOQLFdx&#10;QBEm8XwF7EoIsQhrDghRMgOeZ/z/hvwX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tb7VEOMAAAALAQAADwAAAAAAAAAAAAAAAAARBQAAZHJzL2Rvd25yZXYueG1sUEsFBgAAAAAEAAQA&#10;8wAAACEGAAAAAA==&#10;" adj="366,22243" filled="f" strokecolor="black [3213]" strokeweight="1pt">
                <v:textbox>
                  <w:txbxContent>
                    <w:p w14:paraId="01AE99F0" w14:textId="77777777" w:rsidR="00B40729" w:rsidRDefault="00B40729" w:rsidP="00B407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5CB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338F35DE" wp14:editId="181242CC">
            <wp:simplePos x="0" y="0"/>
            <wp:positionH relativeFrom="column">
              <wp:posOffset>5092065</wp:posOffset>
            </wp:positionH>
            <wp:positionV relativeFrom="paragraph">
              <wp:posOffset>-240665</wp:posOffset>
            </wp:positionV>
            <wp:extent cx="647700" cy="1091629"/>
            <wp:effectExtent l="0" t="0" r="0" b="0"/>
            <wp:wrapNone/>
            <wp:docPr id="184262859" name="Image 18426285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5CB">
        <w:rPr>
          <w:rFonts w:ascii="Times New Roman" w:hAnsi="Times New Roman" w:cs="Times New Roman"/>
          <w:b/>
          <w:sz w:val="28"/>
          <w:szCs w:val="28"/>
        </w:rPr>
        <w:t>S1</w:t>
      </w:r>
    </w:p>
    <w:p w14:paraId="16D5DA85" w14:textId="77777777" w:rsidR="00B40729" w:rsidRPr="007165CB" w:rsidRDefault="00B40729" w:rsidP="00B4072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0A1F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8480" behindDoc="0" locked="0" layoutInCell="1" allowOverlap="1" wp14:anchorId="0F99389F" wp14:editId="041DDB32">
            <wp:simplePos x="0" y="0"/>
            <wp:positionH relativeFrom="column">
              <wp:posOffset>5772737</wp:posOffset>
            </wp:positionH>
            <wp:positionV relativeFrom="paragraph">
              <wp:posOffset>47293</wp:posOffset>
            </wp:positionV>
            <wp:extent cx="524604" cy="518359"/>
            <wp:effectExtent l="76200" t="76200" r="66040" b="72390"/>
            <wp:wrapNone/>
            <wp:docPr id="15232621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621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9195">
                      <a:off x="0" y="0"/>
                      <a:ext cx="524604" cy="51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5CB"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mélanges</w:t>
      </w:r>
    </w:p>
    <w:p w14:paraId="252CD584" w14:textId="77777777" w:rsidR="00B40729" w:rsidRPr="007165CB" w:rsidRDefault="00B40729" w:rsidP="00B40729">
      <w:pPr>
        <w:rPr>
          <w:rFonts w:ascii="Times New Roman" w:hAnsi="Times New Roman" w:cs="Times New Roman"/>
          <w:snapToGrid w:val="0"/>
          <w:color w:val="000000"/>
        </w:rPr>
      </w:pPr>
    </w:p>
    <w:p w14:paraId="3E6B0704" w14:textId="77777777" w:rsidR="00525526" w:rsidRPr="007165CB" w:rsidRDefault="00525526" w:rsidP="00525526">
      <w:pPr>
        <w:rPr>
          <w:rFonts w:ascii="Times New Roman" w:hAnsi="Times New Roman" w:cs="Times New Roman"/>
          <w:snapToGrid w:val="0"/>
          <w:color w:val="000000"/>
        </w:rPr>
      </w:pPr>
    </w:p>
    <w:p w14:paraId="2AF906E9" w14:textId="77777777" w:rsidR="00525526" w:rsidRPr="00677736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7736">
        <w:rPr>
          <w:rFonts w:ascii="Times New Roman" w:hAnsi="Times New Roman" w:cs="Times New Roman"/>
          <w:sz w:val="24"/>
          <w:szCs w:val="24"/>
          <w:u w:val="single"/>
        </w:rPr>
        <w:t>I/ Les mélanges homogènes et hétérogènes</w:t>
      </w:r>
    </w:p>
    <w:p w14:paraId="2E8AE60C" w14:textId="77777777" w:rsidR="00525526" w:rsidRPr="00677736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82630" w14:textId="77777777" w:rsidR="00525526" w:rsidRPr="00677736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>Un</w:t>
      </w:r>
      <w:r w:rsidRPr="0067773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mélange</w:t>
      </w:r>
      <w:r w:rsidRPr="0067773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677736">
        <w:rPr>
          <w:rFonts w:ascii="Times New Roman" w:hAnsi="Times New Roman" w:cs="Times New Roman"/>
          <w:sz w:val="24"/>
          <w:szCs w:val="24"/>
        </w:rPr>
        <w:t xml:space="preserve">est une association de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plusieurs constituants</w:t>
      </w:r>
      <w:r w:rsidRPr="00677736">
        <w:rPr>
          <w:rFonts w:ascii="Times New Roman" w:hAnsi="Times New Roman" w:cs="Times New Roman"/>
          <w:sz w:val="24"/>
          <w:szCs w:val="24"/>
        </w:rPr>
        <w:t>. Lorsque l’on mêle deux liquides, ce mélange peut être :</w:t>
      </w:r>
    </w:p>
    <w:p w14:paraId="4ACDD262" w14:textId="77777777" w:rsidR="00525526" w:rsidRPr="00677736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 xml:space="preserve">-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homogène</w:t>
      </w:r>
      <w:r w:rsidRPr="00677736">
        <w:rPr>
          <w:rFonts w:ascii="Times New Roman" w:hAnsi="Times New Roman" w:cs="Times New Roman"/>
          <w:sz w:val="24"/>
          <w:szCs w:val="24"/>
        </w:rPr>
        <w:t xml:space="preserve"> si on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ne voit plus les constituants</w:t>
      </w:r>
      <w:r w:rsidRPr="00677736">
        <w:rPr>
          <w:rFonts w:ascii="Times New Roman" w:hAnsi="Times New Roman" w:cs="Times New Roman"/>
          <w:sz w:val="24"/>
          <w:szCs w:val="24"/>
        </w:rPr>
        <w:t xml:space="preserve"> (eau + sirop), les liquides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se mélangent totalement</w:t>
      </w:r>
      <w:r w:rsidRPr="00677736">
        <w:rPr>
          <w:rFonts w:ascii="Times New Roman" w:hAnsi="Times New Roman" w:cs="Times New Roman"/>
          <w:sz w:val="24"/>
          <w:szCs w:val="24"/>
        </w:rPr>
        <w:t xml:space="preserve">, ils sont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miscibles</w:t>
      </w:r>
      <w:r w:rsidRPr="00677736">
        <w:rPr>
          <w:rFonts w:ascii="Times New Roman" w:hAnsi="Times New Roman" w:cs="Times New Roman"/>
          <w:sz w:val="24"/>
          <w:szCs w:val="24"/>
        </w:rPr>
        <w:t>,</w:t>
      </w:r>
    </w:p>
    <w:p w14:paraId="550CD65D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 xml:space="preserve">-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hétérogène </w:t>
      </w:r>
      <w:r w:rsidRPr="00677736">
        <w:rPr>
          <w:rFonts w:ascii="Times New Roman" w:hAnsi="Times New Roman" w:cs="Times New Roman"/>
          <w:sz w:val="24"/>
          <w:szCs w:val="24"/>
        </w:rPr>
        <w:t xml:space="preserve">si on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voit les constituants</w:t>
      </w:r>
      <w:r w:rsidRPr="00677736">
        <w:rPr>
          <w:rFonts w:ascii="Times New Roman" w:hAnsi="Times New Roman" w:cs="Times New Roman"/>
          <w:sz w:val="24"/>
          <w:szCs w:val="24"/>
        </w:rPr>
        <w:t xml:space="preserve"> (eau + huile), les liquides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ne se mélangent pas totalement</w:t>
      </w:r>
      <w:r w:rsidRPr="00677736">
        <w:rPr>
          <w:rFonts w:ascii="Times New Roman" w:hAnsi="Times New Roman" w:cs="Times New Roman"/>
          <w:sz w:val="24"/>
          <w:szCs w:val="24"/>
        </w:rPr>
        <w:t xml:space="preserve">, ils sont </w:t>
      </w:r>
      <w:r w:rsidRPr="00677736">
        <w:rPr>
          <w:rFonts w:ascii="Times New Roman" w:hAnsi="Times New Roman" w:cs="Times New Roman"/>
          <w:b/>
          <w:bCs/>
          <w:color w:val="EE0000"/>
          <w:sz w:val="24"/>
          <w:szCs w:val="24"/>
        </w:rPr>
        <w:t>non miscibles</w:t>
      </w:r>
      <w:r w:rsidRPr="006777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8882AD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0A1F55" w14:textId="77777777" w:rsidR="00525526" w:rsidRPr="004E6727" w:rsidRDefault="00525526" w:rsidP="005255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1EE590" wp14:editId="7B599BC7">
            <wp:extent cx="1848108" cy="2219635"/>
            <wp:effectExtent l="0" t="0" r="0" b="0"/>
            <wp:docPr id="4252668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668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DCB8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6727">
        <w:rPr>
          <w:rFonts w:ascii="Times New Roman" w:hAnsi="Times New Roman" w:cs="Times New Roman"/>
          <w:sz w:val="24"/>
          <w:szCs w:val="24"/>
          <w:u w:val="single"/>
        </w:rPr>
        <w:t>II/ Soluble et non soluble et séparation des constituants du mélange</w:t>
      </w:r>
    </w:p>
    <w:p w14:paraId="7A003457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4E1F7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Si l’on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mêle</w:t>
      </w:r>
      <w:r w:rsidRPr="004E6727">
        <w:rPr>
          <w:rFonts w:ascii="Times New Roman" w:hAnsi="Times New Roman" w:cs="Times New Roman"/>
          <w:sz w:val="24"/>
          <w:szCs w:val="24"/>
        </w:rPr>
        <w:t xml:space="preserve"> un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solide</w:t>
      </w:r>
      <w:r w:rsidRPr="004E6727">
        <w:rPr>
          <w:rFonts w:ascii="Times New Roman" w:hAnsi="Times New Roman" w:cs="Times New Roman"/>
          <w:sz w:val="24"/>
          <w:szCs w:val="24"/>
        </w:rPr>
        <w:t xml:space="preserve"> dans de l’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eau</w:t>
      </w:r>
      <w:r w:rsidRPr="004E6727">
        <w:rPr>
          <w:rFonts w:ascii="Times New Roman" w:hAnsi="Times New Roman" w:cs="Times New Roman"/>
          <w:sz w:val="24"/>
          <w:szCs w:val="24"/>
        </w:rPr>
        <w:t xml:space="preserve">, le solide est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soluble</w:t>
      </w:r>
      <w:r w:rsidRPr="004E6727">
        <w:rPr>
          <w:rFonts w:ascii="Times New Roman" w:hAnsi="Times New Roman" w:cs="Times New Roman"/>
          <w:sz w:val="24"/>
          <w:szCs w:val="24"/>
        </w:rPr>
        <w:t xml:space="preserve">, il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disparaît</w:t>
      </w:r>
      <w:r w:rsidRPr="004E6727">
        <w:rPr>
          <w:rFonts w:ascii="Times New Roman" w:hAnsi="Times New Roman" w:cs="Times New Roman"/>
          <w:sz w:val="24"/>
          <w:szCs w:val="24"/>
        </w:rPr>
        <w:t xml:space="preserve"> dans l’eau (jusqu’à saturation). Le mélange est alors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homogène</w:t>
      </w:r>
      <w:r w:rsidRPr="004E67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DC462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39CA0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Si le solide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ne disparaît pas</w:t>
      </w:r>
      <w:r w:rsidRPr="004E6727">
        <w:rPr>
          <w:rFonts w:ascii="Times New Roman" w:hAnsi="Times New Roman" w:cs="Times New Roman"/>
          <w:sz w:val="24"/>
          <w:szCs w:val="24"/>
        </w:rPr>
        <w:t xml:space="preserve">, il est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non soluble</w:t>
      </w:r>
      <w:r w:rsidRPr="004E6727">
        <w:rPr>
          <w:rFonts w:ascii="Times New Roman" w:hAnsi="Times New Roman" w:cs="Times New Roman"/>
          <w:sz w:val="24"/>
          <w:szCs w:val="24"/>
        </w:rPr>
        <w:t xml:space="preserve"> et le mélange est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hétérogène</w:t>
      </w:r>
      <w:r w:rsidRPr="004E6727">
        <w:rPr>
          <w:rFonts w:ascii="Times New Roman" w:hAnsi="Times New Roman" w:cs="Times New Roman"/>
          <w:sz w:val="24"/>
          <w:szCs w:val="24"/>
        </w:rPr>
        <w:t>.</w:t>
      </w:r>
    </w:p>
    <w:p w14:paraId="133C625F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68B7D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Pour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séparer</w:t>
      </w:r>
      <w:r w:rsidRPr="004E6727">
        <w:rPr>
          <w:rFonts w:ascii="Times New Roman" w:hAnsi="Times New Roman" w:cs="Times New Roman"/>
          <w:sz w:val="24"/>
          <w:szCs w:val="24"/>
        </w:rPr>
        <w:t xml:space="preserve"> les constituants d’un mélange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hétérogène</w:t>
      </w:r>
      <w:r w:rsidRPr="004E6727">
        <w:rPr>
          <w:rFonts w:ascii="Times New Roman" w:hAnsi="Times New Roman" w:cs="Times New Roman"/>
          <w:sz w:val="24"/>
          <w:szCs w:val="24"/>
        </w:rPr>
        <w:t xml:space="preserve">, on peut utiliser la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décantation</w:t>
      </w:r>
      <w:r w:rsidRPr="004E6727">
        <w:rPr>
          <w:rFonts w:ascii="Times New Roman" w:hAnsi="Times New Roman" w:cs="Times New Roman"/>
          <w:sz w:val="24"/>
          <w:szCs w:val="24"/>
        </w:rPr>
        <w:t xml:space="preserve">, la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filtration</w:t>
      </w:r>
      <w:r w:rsidRPr="004E6727">
        <w:rPr>
          <w:rFonts w:ascii="Times New Roman" w:hAnsi="Times New Roman" w:cs="Times New Roman"/>
          <w:sz w:val="24"/>
          <w:szCs w:val="24"/>
        </w:rPr>
        <w:t xml:space="preserve"> ou le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tamisage</w:t>
      </w:r>
      <w:r w:rsidRPr="004E67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1FDFF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29F354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Pour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séparer </w:t>
      </w:r>
      <w:r w:rsidRPr="004E6727">
        <w:rPr>
          <w:rFonts w:ascii="Times New Roman" w:hAnsi="Times New Roman" w:cs="Times New Roman"/>
          <w:sz w:val="24"/>
          <w:szCs w:val="24"/>
        </w:rPr>
        <w:t>les constituants d’un mélange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homogène</w:t>
      </w:r>
      <w:r w:rsidRPr="004E6727">
        <w:rPr>
          <w:rFonts w:ascii="Times New Roman" w:hAnsi="Times New Roman" w:cs="Times New Roman"/>
          <w:sz w:val="24"/>
          <w:szCs w:val="24"/>
        </w:rPr>
        <w:t>, on peut utiliser l’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évaporation.</w:t>
      </w:r>
    </w:p>
    <w:p w14:paraId="1468D99A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7094A2" w14:textId="4E9B1743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Chaque technique permet de séparer les constituants d’un mélange selon leur taille et leur comportement dans l’eau. </w:t>
      </w:r>
    </w:p>
    <w:p w14:paraId="1B02BA5C" w14:textId="38563141" w:rsidR="00525526" w:rsidRPr="004E6727" w:rsidRDefault="00193C32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6666" wp14:editId="75BFCF0B">
                <wp:simplePos x="0" y="0"/>
                <wp:positionH relativeFrom="column">
                  <wp:posOffset>-10633</wp:posOffset>
                </wp:positionH>
                <wp:positionV relativeFrom="paragraph">
                  <wp:posOffset>154246</wp:posOffset>
                </wp:positionV>
                <wp:extent cx="5571461" cy="1414130"/>
                <wp:effectExtent l="0" t="0" r="10795" b="15240"/>
                <wp:wrapNone/>
                <wp:docPr id="16741541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1" cy="1414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2DDC8" id="Rectangle 1" o:spid="_x0000_s1026" style="position:absolute;margin-left:-.85pt;margin-top:12.15pt;width:438.7pt;height:11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6bgQIAAGAFAAAOAAAAZHJzL2Uyb0RvYy54bWysVNtu2zAMfR+wfxD0vjrOknYL6hRBL8OA&#10;Yi3WDn1WZCk2IIsapcTJvn6UfEnQFXsYlgCyKJKH5BGpy6t9Y9hOoa/BFjw/m3CmrISytpuC/3i+&#10;+/CJMx+ELYUBqwp+UJ5fLd+/u2zdQk2hAlMqZARi/aJ1Ba9CcIss87JSjfBn4JQlpQZsRCARN1mJ&#10;oiX0xmTTyeQ8awFLhyCV93R60yn5MuFrrWR40NqrwEzBKbeQVkzrOq7Z8lIsNihcVcs+DfEPWTSi&#10;thR0hLoRQbAt1n9ANbVE8KDDmYQmA61rqVINVE0+eVXNUyWcSrUQOd6NNPn/Byu/7Z7cIxINrfML&#10;T9tYxV5jE7+UH9snsg4jWWofmKTD+fwin53nnEnS5TP6f0x0Zkd3hz58UdCwuCk40m0kksTu3gcK&#10;SaaDSYxm4a42Jt2IsfHAg6nLeJYE3KyvDbKdoKu8vZ3QL94eYZyYkRRds2MxaRcORkUMY78rzeqS&#10;0p+mTFKfqRFWSKlsyDtVJUrVRcvnJ8FiZ0aPFDoBRmRNWY7YPcBg2YEM2F3OvX10ValNR+fJ3xLr&#10;nEePFBlsGJ2b2gK+BWCoqj5yZz+Q1FETWVpDeXhEhtANiXfyrqZ7uxc+PAqkqaD5oUkPD7RoA23B&#10;od9xVgH+eus82lOzkpazlqas4P7nVqDizHy11Maf89ksjmUSZvOLKQl4qlmfauy2uQa6fWo6yi5t&#10;o30ww1YjNC/0IKxiVFIJKyl2wWXAQbgO3fTTkyLVapXMaBSdCPf2yckIHlmNffm8fxHo+uYN1Pff&#10;YJhIsXjVw51t9LSw2gbQdWrwI6893zTGqXH6Jye+E6dysjo+jMvfAAAA//8DAFBLAwQUAAYACAAA&#10;ACEA9P2OgN8AAAAJAQAADwAAAGRycy9kb3ducmV2LnhtbEyPzU7DMBCE70i8g7VI3Fq7gSZViFMB&#10;UumhEj+FB9jGSxyI7ch22vD2uCc47sxo9ptqPZmeHcmHzlkJi7kARrZxqrOthI/3zWwFLES0Cntn&#10;ScIPBVjXlxcVlsqd7Bsd97FlqcSGEiXoGIeS89BoMhjmbiCbvE/nDcZ0+pYrj6dUbnqeCZFzg51N&#10;HzQO9Kip+d6PRsLzNjxtv/Ix2wn0Ob1s9Oty9yDl9dV0fwcs0hT/wnDGT+hQJ6aDG60KrJcwWxQp&#10;KSG7vQGW/FWxTMLhLBQCeF3x/wvqXwAAAP//AwBQSwECLQAUAAYACAAAACEAtoM4kv4AAADhAQAA&#10;EwAAAAAAAAAAAAAAAAAAAAAAW0NvbnRlbnRfVHlwZXNdLnhtbFBLAQItABQABgAIAAAAIQA4/SH/&#10;1gAAAJQBAAALAAAAAAAAAAAAAAAAAC8BAABfcmVscy8ucmVsc1BLAQItABQABgAIAAAAIQCL7w6b&#10;gQIAAGAFAAAOAAAAAAAAAAAAAAAAAC4CAABkcnMvZTJvRG9jLnhtbFBLAQItABQABgAIAAAAIQD0&#10;/Y6A3wAAAAkBAAAPAAAAAAAAAAAAAAAAANsEAABkcnMvZG93bnJldi54bWxQSwUGAAAAAAQABADz&#10;AAAA5wUAAAAA&#10;" filled="f" strokecolor="#e00" strokeweight="1pt"/>
            </w:pict>
          </mc:Fallback>
        </mc:AlternateContent>
      </w:r>
    </w:p>
    <w:p w14:paraId="52B4150A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Le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tamisage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les gros solides restent dans le tamis et l’eau passe. </w:t>
      </w:r>
    </w:p>
    <w:p w14:paraId="6198149F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BF87F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La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filtration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les petites particules restent dans le filtre et l’eau traverse. </w:t>
      </w:r>
    </w:p>
    <w:p w14:paraId="3D58E6B8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97FEBB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La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décantation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 solide tombe petit à petit au fond et l’eau devient plus claire au-dessus. </w:t>
      </w:r>
    </w:p>
    <w:p w14:paraId="60141643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A6E95E" w14:textId="77777777" w:rsidR="00525526" w:rsidRPr="004E6727" w:rsidRDefault="00525526" w:rsidP="005255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L’</w:t>
      </w:r>
      <w:r w:rsidRPr="004E6727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évaporation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l’eau s’évapore et le solide est récupéré. </w:t>
      </w:r>
    </w:p>
    <w:p w14:paraId="0753C3F9" w14:textId="77777777" w:rsidR="00525526" w:rsidRPr="00677736" w:rsidRDefault="00525526" w:rsidP="00525526">
      <w:pPr>
        <w:spacing w:after="0"/>
      </w:pPr>
    </w:p>
    <w:p w14:paraId="7849C416" w14:textId="77777777" w:rsidR="00F12864" w:rsidRDefault="00F12864"/>
    <w:sectPr w:rsidR="00F12864" w:rsidSect="00525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26"/>
    <w:rsid w:val="00193C32"/>
    <w:rsid w:val="00525526"/>
    <w:rsid w:val="00A60739"/>
    <w:rsid w:val="00B40729"/>
    <w:rsid w:val="00C12953"/>
    <w:rsid w:val="00D87734"/>
    <w:rsid w:val="00F1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50C3"/>
  <w15:chartTrackingRefBased/>
  <w15:docId w15:val="{79BFABFB-4916-44D9-89BA-3D306FD0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526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25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5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5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5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5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5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5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5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5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5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5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5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552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552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55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55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55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55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5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25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5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25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55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255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5526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2552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5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552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55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3</cp:revision>
  <dcterms:created xsi:type="dcterms:W3CDTF">2026-07-29T12:51:00Z</dcterms:created>
  <dcterms:modified xsi:type="dcterms:W3CDTF">2026-07-30T14:02:00Z</dcterms:modified>
</cp:coreProperties>
</file>