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5D" w:rsidRPr="00823B96" w:rsidRDefault="001A1782">
      <w:pPr>
        <w:pStyle w:val="Standard"/>
        <w:shd w:val="clear" w:color="auto" w:fill="D9D9D9"/>
        <w:jc w:val="center"/>
        <w:rPr>
          <w:b/>
          <w:bCs/>
          <w:sz w:val="30"/>
          <w:szCs w:val="30"/>
        </w:rPr>
      </w:pPr>
      <w:r w:rsidRPr="00823B96">
        <w:rPr>
          <w:b/>
          <w:bCs/>
          <w:sz w:val="30"/>
          <w:szCs w:val="30"/>
        </w:rPr>
        <w:t>Proposition d'une progression de français en cycle3</w:t>
      </w:r>
    </w:p>
    <w:p w:rsidR="00C60B5D" w:rsidRPr="00823B96" w:rsidRDefault="00C60B5D">
      <w:pPr>
        <w:pStyle w:val="Standard"/>
        <w:rPr>
          <w:b/>
          <w:bCs/>
          <w:sz w:val="30"/>
          <w:szCs w:val="30"/>
        </w:rPr>
      </w:pPr>
    </w:p>
    <w:p w:rsidR="00C60B5D" w:rsidRPr="00823B96" w:rsidRDefault="001A1782">
      <w:pPr>
        <w:pStyle w:val="Standard"/>
        <w:shd w:val="clear" w:color="auto" w:fill="D9D9D9"/>
      </w:pPr>
      <w:r w:rsidRPr="00823B96">
        <w:rPr>
          <w:rFonts w:cs="Calibri"/>
          <w:b/>
          <w:lang w:eastAsia="fr-FR"/>
        </w:rPr>
        <w:t>Langage oral</w:t>
      </w:r>
      <w:r w:rsidRPr="00823B96">
        <w:rPr>
          <w:rFonts w:eastAsia="Times New Roman"/>
          <w:b/>
          <w:iCs/>
          <w:lang w:eastAsia="fr-FR"/>
        </w:rPr>
        <w:t xml:space="preserve"> - Domaines du socle CCC - 1-2-3</w:t>
      </w:r>
    </w:p>
    <w:p w:rsidR="00C60B5D" w:rsidRPr="00823B96" w:rsidRDefault="00C60B5D">
      <w:pPr>
        <w:pStyle w:val="Standard"/>
      </w:pPr>
    </w:p>
    <w:tbl>
      <w:tblPr>
        <w:tblW w:w="10772" w:type="dxa"/>
        <w:tblLayout w:type="fixed"/>
        <w:tblCellMar>
          <w:left w:w="10" w:type="dxa"/>
          <w:right w:w="10" w:type="dxa"/>
        </w:tblCellMar>
        <w:tblLook w:val="0000"/>
      </w:tblPr>
      <w:tblGrid>
        <w:gridCol w:w="9059"/>
        <w:gridCol w:w="610"/>
        <w:gridCol w:w="621"/>
        <w:gridCol w:w="482"/>
      </w:tblGrid>
      <w:tr w:rsidR="00C60B5D" w:rsidRPr="00823B96">
        <w:tc>
          <w:tcPr>
            <w:tcW w:w="9059"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61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CM1</w:t>
            </w:r>
          </w:p>
        </w:tc>
        <w:tc>
          <w:tcPr>
            <w:tcW w:w="621"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CM2</w:t>
            </w:r>
          </w:p>
        </w:tc>
        <w:tc>
          <w:tcPr>
            <w:tcW w:w="4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6e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Écouter pour comprendre un message oral, un propos, un discours, un texte lu</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Attention portée aux éléments vocaux et gestuels lors de l’audition d’un texte ou d’un message (segmentation, accentuation, intonation, discrimination entre des sonorités proches…) et repérage de leurs effets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7" w:line="228" w:lineRule="auto"/>
              <w:ind w:left="283" w:hanging="283"/>
              <w:jc w:val="both"/>
              <w:rPr>
                <w:rFonts w:eastAsia="Garamond" w:cs="Garamond"/>
                <w:color w:val="181717"/>
                <w:lang w:eastAsia="fr-FR"/>
              </w:rPr>
            </w:pPr>
            <w:r w:rsidRPr="00823B96">
              <w:rPr>
                <w:rFonts w:eastAsia="Garamond" w:cs="Garamond"/>
                <w:color w:val="181717"/>
                <w:lang w:eastAsia="fr-FR"/>
              </w:rPr>
              <w:t>Maintien d’une attention orientée en fonction du but</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pPr>
            <w:r w:rsidRPr="00823B96">
              <w:t>Identification et mémorisation des informations importantes, enchaînements et mise en relation de ces informations ainsi que des informations implicites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Repérage et prise en compte des caractéristiques des différents genres de discours (récit, compte rendu, reformulation, exposé, argumentation …), du lexique et des références culturelles liés au domaine du message ou du texte entendu</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Repérage d’éventuelles difficultés de compréhension et verbalisation de ces difficultés et des moyens d’y répondre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Vigilance critique par rapport au langage écouté</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line="251" w:lineRule="auto"/>
              <w:rPr>
                <w:rFonts w:eastAsia="Garamond" w:cs="Garamond"/>
                <w:b/>
                <w:color w:val="181717"/>
                <w:lang w:eastAsia="fr-FR"/>
              </w:rPr>
            </w:pPr>
            <w:r w:rsidRPr="00823B96">
              <w:rPr>
                <w:rFonts w:eastAsia="Garamond" w:cs="Garamond"/>
                <w:b/>
                <w:color w:val="181717"/>
                <w:lang w:eastAsia="fr-FR"/>
              </w:rPr>
              <w:t>Parler en prenant en compte son auditoire :</w:t>
            </w:r>
          </w:p>
          <w:p w:rsidR="00C60B5D" w:rsidRPr="00823B96" w:rsidRDefault="001A1782">
            <w:pPr>
              <w:pStyle w:val="Standard"/>
              <w:spacing w:line="216" w:lineRule="auto"/>
              <w:ind w:left="156" w:hanging="156"/>
              <w:rPr>
                <w:rFonts w:eastAsia="Garamond" w:cs="Garamond"/>
                <w:color w:val="181717"/>
                <w:lang w:eastAsia="fr-FR"/>
              </w:rPr>
            </w:pPr>
            <w:r w:rsidRPr="00823B96">
              <w:rPr>
                <w:rFonts w:eastAsia="Garamond" w:cs="Garamond"/>
                <w:color w:val="181717"/>
                <w:lang w:eastAsia="fr-FR"/>
              </w:rPr>
              <w:t>−  pour partager un point de vue personnel, des sentiments, des connaissances ;</w:t>
            </w:r>
          </w:p>
          <w:p w:rsidR="00C60B5D" w:rsidRPr="00823B96" w:rsidRDefault="001A1782">
            <w:pPr>
              <w:pStyle w:val="Standard"/>
              <w:spacing w:line="216" w:lineRule="auto"/>
              <w:ind w:left="156" w:hanging="156"/>
              <w:rPr>
                <w:rFonts w:eastAsia="Garamond" w:cs="Garamond"/>
                <w:color w:val="181717"/>
                <w:lang w:eastAsia="fr-FR"/>
              </w:rPr>
            </w:pPr>
            <w:r w:rsidRPr="00823B96">
              <w:rPr>
                <w:rFonts w:eastAsia="Garamond" w:cs="Garamond"/>
                <w:color w:val="181717"/>
                <w:lang w:eastAsia="fr-FR"/>
              </w:rPr>
              <w:t>−  pour oraliser une œuvre de la littérature orale ou écrite ;</w:t>
            </w:r>
          </w:p>
          <w:p w:rsidR="00C60B5D" w:rsidRPr="00823B96" w:rsidRDefault="001A1782">
            <w:pPr>
              <w:pStyle w:val="Standard"/>
              <w:spacing w:after="52" w:line="216" w:lineRule="auto"/>
              <w:ind w:left="156" w:hanging="156"/>
              <w:rPr>
                <w:rFonts w:eastAsia="Garamond" w:cs="Garamond"/>
                <w:color w:val="181717"/>
                <w:lang w:eastAsia="fr-FR"/>
              </w:rPr>
            </w:pPr>
            <w:r w:rsidRPr="00823B96">
              <w:rPr>
                <w:rFonts w:eastAsia="Garamond" w:cs="Garamond"/>
                <w:color w:val="181717"/>
                <w:lang w:eastAsia="fr-FR"/>
              </w:rPr>
              <w:t>−  pour tenir un propos élaboré et continu relevant d’un genre de l’oral.</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Mobilisation des ressources de la voix et du corps pour être entendu et compris (clarté de l’articulation, débit, rythme, volume de la voix, ton, accentuation, souffle ; communication non-verbale : regard, posture du corps, gestuelle, mimiques)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Techniques de mise en voix des textes littéraires (poésie, théâtre en particulier)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Techniques de mémorisation des textes présentés ou interprétés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left="-284"/>
              <w:jc w:val="both"/>
              <w:rPr>
                <w:rFonts w:eastAsia="Garamond" w:cs="Garamond"/>
                <w:b/>
                <w:color w:val="181717"/>
                <w:lang w:eastAsia="fr-FR"/>
              </w:rPr>
            </w:pPr>
            <w:r w:rsidRPr="00823B96">
              <w:rPr>
                <w:rFonts w:eastAsia="Garamond" w:cs="Garamond"/>
                <w:b/>
                <w:color w:val="181717"/>
                <w:lang w:eastAsia="fr-FR"/>
              </w:rPr>
              <w:t>P   Participer à des échanges dans des situations de</w:t>
            </w:r>
          </w:p>
          <w:p w:rsidR="00C60B5D" w:rsidRPr="00823B96" w:rsidRDefault="001A1782">
            <w:pPr>
              <w:pStyle w:val="Standard"/>
              <w:jc w:val="both"/>
            </w:pPr>
            <w:r w:rsidRPr="00823B96">
              <w:rPr>
                <w:rFonts w:eastAsia="Garamond" w:cs="Garamond"/>
                <w:b/>
                <w:color w:val="181717"/>
                <w:lang w:eastAsia="fr-FR"/>
              </w:rPr>
              <w:t xml:space="preserve">communication diversifiées </w:t>
            </w:r>
            <w:r w:rsidRPr="00823B96">
              <w:rPr>
                <w:rFonts w:eastAsia="Garamond" w:cs="Garamond"/>
                <w:color w:val="181717"/>
                <w:lang w:eastAsia="fr-FR"/>
              </w:rPr>
              <w:t>(séances d’apprentissage ordinaire, séances de régulation de la vie de classe, jeux de rôles improvisés ou préparés).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Prise en compte de la parole des différents interlocuteurs dans un débat et identification des points de vue exprimés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Présentation d’une idée, d’un point de vue en tenant compte des autres points de vue exprimés (approbation, contestation, apport de compléments, reformulation…)</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Mobilisation d’actes langagiers qui engagent celui qui parle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Mobilisation de stratégies argumentatives : recours à des exemples, réfutation, récapitulation…</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 xml:space="preserve">Respect des règles conversationnelles (quantité, qualité, clarté et concision, relation avec le </w:t>
            </w:r>
            <w:r w:rsidRPr="00823B96">
              <w:rPr>
                <w:rFonts w:eastAsia="Garamond" w:cs="Garamond"/>
                <w:color w:val="181717"/>
                <w:lang w:eastAsia="fr-FR"/>
              </w:rPr>
              <w:lastRenderedPageBreak/>
              <w:t>propos)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lastRenderedPageBreak/>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lastRenderedPageBreak/>
              <w:t>Organisation du propos</w:t>
            </w:r>
          </w:p>
          <w:p w:rsidR="00C60B5D" w:rsidRPr="00823B96" w:rsidRDefault="001A1782">
            <w:pPr>
              <w:pStyle w:val="Standard"/>
              <w:spacing w:after="129" w:line="216" w:lineRule="auto"/>
              <w:ind w:left="170" w:right="83" w:hanging="170"/>
              <w:jc w:val="both"/>
              <w:rPr>
                <w:rFonts w:eastAsia="Garamond" w:cs="Garamond"/>
                <w:color w:val="181717"/>
                <w:lang w:eastAsia="fr-FR"/>
              </w:rPr>
            </w:pPr>
            <w:r w:rsidRPr="00823B96">
              <w:rPr>
                <w:rFonts w:eastAsia="Garamond" w:cs="Garamond"/>
                <w:color w:val="181717"/>
                <w:lang w:eastAsia="fr-FR"/>
              </w:rPr>
              <w:t>Construction et mobilisation de moyens d’expression (lexique, formules, types de phrase, enchaînements…).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Mise à distance de l’expérience et mobilisation des connaissances (formulation et reformulation, explicitation des démarches, des contenus, des procédures, etc.).</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Identification et différenciation de ce qui relève du singulier, les exemples et du général, les propriétés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Lexique des enseignements et disciplines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8" w:line="216" w:lineRule="auto"/>
              <w:ind w:left="113"/>
              <w:rPr>
                <w:rFonts w:eastAsia="Garamond" w:cs="Garamond"/>
                <w:color w:val="181717"/>
                <w:lang w:eastAsia="fr-FR"/>
              </w:rPr>
            </w:pPr>
            <w:r w:rsidRPr="00823B96">
              <w:rPr>
                <w:rFonts w:eastAsia="Garamond" w:cs="Garamond"/>
                <w:color w:val="181717"/>
                <w:lang w:eastAsia="fr-FR"/>
              </w:rPr>
              <w:t>Adopter une attitude critique par rapport au langage produit</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 xml:space="preserve"> Règles régulant les échanges ; repérage du respect ou non de ces règles dans les propos d’un pair, aide à la reformulation</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Prise en compte de critères d’évaluation explicites élaborés collectivement pour les présentations orales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Autocorrection après écoute (reformulations)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Fonctionnement de la syntaxe de la langue orale (prosodie, juxtaposition, répétitions et ajustements, importance des verbes) et comparaison avec l’écrit</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05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29" w:line="216" w:lineRule="auto"/>
              <w:ind w:left="170" w:right="83" w:hanging="170"/>
              <w:rPr>
                <w:rFonts w:eastAsia="Garamond" w:cs="Garamond"/>
                <w:color w:val="181717"/>
                <w:lang w:eastAsia="fr-FR"/>
              </w:rPr>
            </w:pPr>
            <w:r w:rsidRPr="00823B96">
              <w:rPr>
                <w:rFonts w:eastAsia="Garamond" w:cs="Garamond"/>
                <w:color w:val="181717"/>
                <w:lang w:eastAsia="fr-FR"/>
              </w:rPr>
              <w:t xml:space="preserve"> Relevé et réemploi de mots, d’expressions et de formulations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2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bl>
    <w:p w:rsidR="00C60B5D" w:rsidRPr="00823B96" w:rsidRDefault="00C60B5D">
      <w:pPr>
        <w:pStyle w:val="Standard"/>
      </w:pPr>
    </w:p>
    <w:p w:rsidR="00C60B5D" w:rsidRPr="00823B96" w:rsidRDefault="00C60B5D">
      <w:pPr>
        <w:pStyle w:val="Standard"/>
      </w:pPr>
    </w:p>
    <w:p w:rsidR="00C60B5D" w:rsidRPr="00823B96" w:rsidRDefault="00C60B5D">
      <w:pPr>
        <w:pStyle w:val="Standard"/>
        <w:pageBreakBefore/>
      </w:pPr>
    </w:p>
    <w:p w:rsidR="00C60B5D" w:rsidRPr="00823B96" w:rsidRDefault="001A1782">
      <w:pPr>
        <w:pStyle w:val="Standard"/>
        <w:shd w:val="clear" w:color="auto" w:fill="D9D9D9"/>
      </w:pPr>
      <w:r w:rsidRPr="00823B96">
        <w:rPr>
          <w:rFonts w:cs="Calibri"/>
          <w:b/>
          <w:lang w:eastAsia="fr-FR"/>
        </w:rPr>
        <w:t>Lecture et Compréhension de l’écrit</w:t>
      </w:r>
      <w:r w:rsidRPr="00823B96">
        <w:rPr>
          <w:rFonts w:eastAsia="Times New Roman"/>
          <w:b/>
          <w:iCs/>
          <w:lang w:eastAsia="fr-FR"/>
        </w:rPr>
        <w:t xml:space="preserve"> - Domaines du socle CCC 1-5</w:t>
      </w:r>
    </w:p>
    <w:p w:rsidR="00C60B5D" w:rsidRPr="00823B96" w:rsidRDefault="00C60B5D">
      <w:pPr>
        <w:pStyle w:val="Standard"/>
      </w:pPr>
    </w:p>
    <w:tbl>
      <w:tblPr>
        <w:tblW w:w="10772" w:type="dxa"/>
        <w:shd w:val="clear" w:color="auto" w:fill="FFFFFF" w:themeFill="background1"/>
        <w:tblLayout w:type="fixed"/>
        <w:tblCellMar>
          <w:left w:w="10" w:type="dxa"/>
          <w:right w:w="10" w:type="dxa"/>
        </w:tblCellMar>
        <w:tblLook w:val="0000"/>
      </w:tblPr>
      <w:tblGrid>
        <w:gridCol w:w="9049"/>
        <w:gridCol w:w="620"/>
        <w:gridCol w:w="611"/>
        <w:gridCol w:w="492"/>
      </w:tblGrid>
      <w:tr w:rsidR="00C60B5D" w:rsidRPr="00823B96" w:rsidTr="000879F6">
        <w:tc>
          <w:tcPr>
            <w:tcW w:w="9049"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620"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CM1</w:t>
            </w:r>
          </w:p>
        </w:tc>
        <w:tc>
          <w:tcPr>
            <w:tcW w:w="611"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CM2</w:t>
            </w:r>
          </w:p>
        </w:tc>
        <w:tc>
          <w:tcPr>
            <w:tcW w:w="4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6e</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Comprendre des textes, des documents et des images et les interpréter</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line="216" w:lineRule="auto"/>
              <w:ind w:left="170" w:hanging="170"/>
              <w:jc w:val="both"/>
              <w:rPr>
                <w:rFonts w:eastAsia="Garamond" w:cs="Garamond"/>
                <w:color w:val="181717"/>
                <w:lang w:eastAsia="fr-FR"/>
              </w:rPr>
            </w:pPr>
            <w:r w:rsidRPr="00823B96">
              <w:rPr>
                <w:rFonts w:eastAsia="Garamond" w:cs="Garamond"/>
                <w:color w:val="181717"/>
                <w:lang w:eastAsia="fr-FR"/>
              </w:rPr>
              <w:t>Mise en œuvre d’une démarche de compréhension : identification et</w:t>
            </w:r>
          </w:p>
          <w:p w:rsidR="00C60B5D" w:rsidRPr="00823B96" w:rsidRDefault="001A1782">
            <w:pPr>
              <w:pStyle w:val="Standard"/>
              <w:spacing w:after="52" w:line="216" w:lineRule="auto"/>
              <w:ind w:left="170" w:right="70"/>
              <w:jc w:val="both"/>
              <w:rPr>
                <w:rFonts w:eastAsia="Garamond" w:cs="Garamond"/>
                <w:color w:val="181717"/>
                <w:lang w:eastAsia="fr-FR"/>
              </w:rPr>
            </w:pPr>
            <w:r w:rsidRPr="00823B96">
              <w:rPr>
                <w:rFonts w:eastAsia="Garamond" w:cs="Garamond"/>
                <w:color w:val="181717"/>
                <w:lang w:eastAsia="fr-FR"/>
              </w:rPr>
              <w:t>hiérarchisation des informations importantes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line="216" w:lineRule="auto"/>
              <w:ind w:left="170" w:hanging="170"/>
              <w:jc w:val="both"/>
              <w:rPr>
                <w:rFonts w:eastAsia="Garamond" w:cs="Garamond"/>
                <w:color w:val="181717"/>
                <w:lang w:eastAsia="fr-FR"/>
              </w:rPr>
            </w:pPr>
            <w:r w:rsidRPr="00823B96">
              <w:rPr>
                <w:rFonts w:eastAsia="Garamond" w:cs="Garamond"/>
                <w:color w:val="181717"/>
                <w:lang w:eastAsia="fr-FR"/>
              </w:rPr>
              <w:t>Mise en œuvre d’une démarche de compréhension : mise en relation de ces informations, repérage et mise en relation des liens logiques et chronologiques,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line="216" w:lineRule="auto"/>
              <w:ind w:left="170" w:hanging="170"/>
              <w:jc w:val="both"/>
              <w:rPr>
                <w:rFonts w:eastAsia="Garamond" w:cs="Garamond"/>
                <w:color w:val="181717"/>
                <w:lang w:eastAsia="fr-FR"/>
              </w:rPr>
            </w:pPr>
            <w:r w:rsidRPr="00823B96">
              <w:rPr>
                <w:rFonts w:eastAsia="Garamond" w:cs="Garamond"/>
                <w:color w:val="181717"/>
                <w:lang w:eastAsia="fr-FR"/>
              </w:rPr>
              <w:t>Mise en œuvre d’une démarche de compréhension : interprétations à partir de la mise en relation d’indices explicites ou implicites (inférences)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r>
      <w:tr w:rsidR="00C60B5D" w:rsidRPr="00823B96" w:rsidTr="000C0B52">
        <w:tc>
          <w:tcPr>
            <w:tcW w:w="9049" w:type="dxa"/>
            <w:tcBorders>
              <w:left w:val="single" w:sz="2" w:space="0" w:color="000000"/>
              <w:bottom w:val="single" w:sz="2" w:space="0" w:color="000000"/>
            </w:tcBorders>
            <w:shd w:val="clear" w:color="auto" w:fill="auto"/>
            <w:tcMar>
              <w:top w:w="55" w:type="dxa"/>
              <w:left w:w="55" w:type="dxa"/>
              <w:bottom w:w="55" w:type="dxa"/>
              <w:right w:w="55" w:type="dxa"/>
            </w:tcMar>
          </w:tcPr>
          <w:p w:rsidR="00C60B5D" w:rsidRPr="000C0B52" w:rsidRDefault="000C0B52">
            <w:pPr>
              <w:pStyle w:val="Standard"/>
              <w:spacing w:after="52" w:line="216" w:lineRule="auto"/>
              <w:ind w:left="170" w:hanging="170"/>
              <w:jc w:val="both"/>
              <w:rPr>
                <w:rFonts w:eastAsia="Garamond" w:cs="Garamond"/>
                <w:color w:val="181717"/>
                <w:shd w:val="clear" w:color="auto" w:fill="FFFF00"/>
                <w:lang w:eastAsia="fr-FR"/>
              </w:rPr>
            </w:pPr>
            <w:r w:rsidRPr="000C0B52">
              <w:rPr>
                <w:rFonts w:eastAsia="Garamond" w:cs="Garamond"/>
                <w:color w:val="181717"/>
                <w:shd w:val="clear" w:color="auto" w:fill="FFFF00"/>
                <w:lang w:eastAsia="fr-FR"/>
              </w:rPr>
              <w:t>Explicitation des relations et des éléments de cohérence externes (situations d’énonciation et visée du ou des documents, contexte, nature et source des documents, etc.)</w:t>
            </w:r>
            <w:bookmarkStart w:id="0" w:name="_GoBack"/>
            <w:bookmarkEnd w:id="0"/>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10" w:line="254" w:lineRule="auto"/>
              <w:jc w:val="both"/>
              <w:rPr>
                <w:rFonts w:eastAsia="Garamond" w:cs="Garamond"/>
                <w:color w:val="181717"/>
                <w:lang w:eastAsia="fr-FR"/>
              </w:rPr>
            </w:pPr>
            <w:r w:rsidRPr="00823B96">
              <w:rPr>
                <w:rFonts w:eastAsia="Garamond" w:cs="Garamond"/>
                <w:color w:val="181717"/>
                <w:lang w:eastAsia="fr-FR"/>
              </w:rPr>
              <w:t>Mobilisation des connaissances lexicales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r w:rsidR="00C60B5D" w:rsidRPr="00823B96" w:rsidTr="00823B96">
        <w:tc>
          <w:tcPr>
            <w:tcW w:w="9049" w:type="dxa"/>
            <w:tcBorders>
              <w:left w:val="single" w:sz="2" w:space="0" w:color="000000"/>
              <w:bottom w:val="single" w:sz="2" w:space="0" w:color="000000"/>
            </w:tcBorders>
            <w:shd w:val="clear" w:color="auto" w:fill="auto"/>
            <w:tcMar>
              <w:top w:w="55" w:type="dxa"/>
              <w:left w:w="55" w:type="dxa"/>
              <w:bottom w:w="55" w:type="dxa"/>
              <w:right w:w="55" w:type="dxa"/>
            </w:tcMar>
          </w:tcPr>
          <w:p w:rsidR="00C60B5D" w:rsidRPr="00823B96" w:rsidRDefault="001A1782">
            <w:pPr>
              <w:pStyle w:val="Standard"/>
              <w:jc w:val="both"/>
              <w:rPr>
                <w:rFonts w:eastAsia="Garamond" w:cs="Garamond"/>
                <w:color w:val="181717"/>
                <w:shd w:val="clear" w:color="auto" w:fill="FFFF00"/>
                <w:lang w:eastAsia="fr-FR"/>
              </w:rPr>
            </w:pPr>
            <w:r w:rsidRPr="00823B96">
              <w:rPr>
                <w:rFonts w:eastAsia="Garamond" w:cs="Garamond"/>
                <w:shd w:val="clear" w:color="auto" w:fill="FFFF00"/>
                <w:lang w:eastAsia="fr-FR"/>
              </w:rPr>
              <w:t>Identification, construction de caractéristiques et spécificités des genres propres aux enseignements et disciplines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ind w:right="384"/>
              <w:jc w:val="both"/>
              <w:rPr>
                <w:rFonts w:eastAsia="Garamond" w:cs="Garamond"/>
                <w:color w:val="181717"/>
                <w:shd w:val="clear" w:color="auto" w:fill="FFFF00"/>
                <w:lang w:eastAsia="fr-FR"/>
              </w:rPr>
            </w:pPr>
            <w:r w:rsidRPr="00823B96">
              <w:rPr>
                <w:rFonts w:eastAsia="Garamond" w:cs="Garamond"/>
                <w:color w:val="181717"/>
                <w:shd w:val="clear" w:color="auto" w:fill="FFFF00"/>
                <w:lang w:eastAsia="fr-FR"/>
              </w:rPr>
              <w:t>Identification, construction de caractéristiques et de spécificités de formes d’expression et de représentation (image, tableau, graphique, schéma, diagramme)</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ind w:left="170" w:hanging="170"/>
              <w:jc w:val="both"/>
              <w:rPr>
                <w:rFonts w:eastAsia="Garamond" w:cs="Garamond"/>
                <w:color w:val="181717"/>
                <w:shd w:val="clear" w:color="auto" w:fill="FFFF00"/>
                <w:lang w:eastAsia="fr-FR"/>
              </w:rPr>
            </w:pPr>
            <w:r w:rsidRPr="00823B96">
              <w:rPr>
                <w:rFonts w:eastAsia="Garamond" w:cs="Garamond"/>
                <w:color w:val="181717"/>
                <w:shd w:val="clear" w:color="auto" w:fill="FFFF00"/>
                <w:lang w:eastAsia="fr-FR"/>
              </w:rPr>
              <w:t>Apprentissage explicite de la mise en relation des informations dans le cas de documents associant plusieurs supports (texte, image, schéma, tableau, graphique…) ou de documents avec des liens hypertextes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jc w:val="both"/>
              <w:rPr>
                <w:rFonts w:eastAsia="Garamond" w:cs="Garamond"/>
                <w:color w:val="181717"/>
                <w:shd w:val="clear" w:color="auto" w:fill="FFFF00"/>
                <w:lang w:eastAsia="fr-FR"/>
              </w:rPr>
            </w:pPr>
            <w:r w:rsidRPr="00823B96">
              <w:rPr>
                <w:rFonts w:eastAsia="Garamond" w:cs="Garamond"/>
                <w:color w:val="181717"/>
                <w:shd w:val="clear" w:color="auto" w:fill="FFFF00"/>
                <w:lang w:eastAsia="fr-FR"/>
              </w:rPr>
              <w:t>Mise en relation explicite du document lu avec d’autres documents lus antérieurement et avec les connaissances culturelles, historiques, géographiques scientifiques ou techniques des élèves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ind w:left="170" w:hanging="170"/>
              <w:jc w:val="both"/>
              <w:rPr>
                <w:rFonts w:eastAsia="Garamond" w:cs="Garamond"/>
                <w:color w:val="181717"/>
                <w:shd w:val="clear" w:color="auto" w:fill="FFFF00"/>
                <w:lang w:eastAsia="fr-FR"/>
              </w:rPr>
            </w:pPr>
            <w:r w:rsidRPr="00823B96">
              <w:rPr>
                <w:rFonts w:eastAsia="Garamond" w:cs="Garamond"/>
                <w:color w:val="181717"/>
                <w:shd w:val="clear" w:color="auto" w:fill="FFFF00"/>
                <w:lang w:eastAsia="fr-FR"/>
              </w:rPr>
              <w:t>Identification de la portée des informations contenues dans le ou les documents : singulières (exemple, expérience, illustration) ou générales (caractéristiques, propriétés)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rPr>
                <w:shd w:val="clear" w:color="auto" w:fill="FFFF00"/>
              </w:rPr>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rPr>
                <w:shd w:val="clear" w:color="auto" w:fill="FFFF00"/>
              </w:rPr>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rPr>
                <w:shd w:val="clear" w:color="auto" w:fill="FFFF00"/>
              </w:rPr>
            </w:pPr>
            <w:r w:rsidRPr="00823B96">
              <w:rPr>
                <w:shd w:val="clear" w:color="auto" w:fill="FFFF00"/>
              </w:rPr>
              <w:t>E</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jc w:val="both"/>
              <w:rPr>
                <w:rFonts w:eastAsia="Garamond" w:cs="Garamond"/>
                <w:b/>
                <w:color w:val="181717"/>
                <w:lang w:eastAsia="fr-FR"/>
              </w:rPr>
            </w:pPr>
            <w:r w:rsidRPr="00823B96">
              <w:rPr>
                <w:rFonts w:eastAsia="Garamond" w:cs="Garamond"/>
                <w:b/>
                <w:color w:val="181717"/>
                <w:lang w:eastAsia="fr-FR"/>
              </w:rPr>
              <w:t>Contrôler sa compréhension et adopter un comportement de lecteur autonome</w:t>
            </w:r>
          </w:p>
          <w:p w:rsidR="00C60B5D" w:rsidRPr="00823B96" w:rsidRDefault="00C60B5D">
            <w:pPr>
              <w:pStyle w:val="Standard"/>
              <w:jc w:val="both"/>
              <w:rPr>
                <w:rFonts w:eastAsia="Times New Roman"/>
                <w:b/>
                <w:i/>
                <w:iCs/>
                <w:lang w:eastAsia="fr-FR"/>
              </w:rPr>
            </w:pP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ind w:left="170" w:hanging="170"/>
              <w:jc w:val="both"/>
              <w:rPr>
                <w:rFonts w:eastAsia="Garamond" w:cs="Garamond"/>
                <w:color w:val="181717"/>
                <w:lang w:eastAsia="fr-FR"/>
              </w:rPr>
            </w:pPr>
            <w:r w:rsidRPr="00823B96">
              <w:rPr>
                <w:rFonts w:eastAsia="Garamond" w:cs="Garamond"/>
                <w:color w:val="181717"/>
                <w:lang w:eastAsia="fr-FR"/>
              </w:rPr>
              <w:t>Justifications possibles de son interprétation ou de ses réponses; appui sur le texte et sur les autres connaissances mobilisées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spacing w:after="52" w:line="216" w:lineRule="auto"/>
              <w:ind w:left="170" w:hanging="170"/>
              <w:jc w:val="both"/>
              <w:rPr>
                <w:rFonts w:eastAsia="Garamond" w:cs="Garamond"/>
                <w:color w:val="181717"/>
                <w:lang w:eastAsia="fr-FR"/>
              </w:rPr>
            </w:pPr>
            <w:r w:rsidRPr="00823B96">
              <w:rPr>
                <w:rFonts w:eastAsia="Garamond" w:cs="Garamond"/>
                <w:color w:val="181717"/>
                <w:lang w:eastAsia="fr-FR"/>
              </w:rPr>
              <w:t>Repérage de ses difficultés ; tentatives pour les expliquer</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jc w:val="both"/>
              <w:rPr>
                <w:rFonts w:eastAsia="Garamond" w:cs="Garamond"/>
                <w:color w:val="181717"/>
                <w:lang w:eastAsia="fr-FR"/>
              </w:rPr>
            </w:pPr>
            <w:r w:rsidRPr="00823B96">
              <w:rPr>
                <w:rFonts w:eastAsia="Garamond" w:cs="Garamond"/>
                <w:color w:val="181717"/>
                <w:lang w:eastAsia="fr-FR"/>
              </w:rPr>
              <w:t>Maintien d’une attitude active et réflexive : vigilance relative à l’objectif (compréhension, buts de la lecture) ; adaptation de la lecture à ses objectifs ; demande d’aide ; mise en œuvre de stratégies pour résoudre ses difficultés…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C60B5D">
            <w:pPr>
              <w:pStyle w:val="TableContents"/>
            </w:pP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jc w:val="both"/>
              <w:rPr>
                <w:rFonts w:eastAsia="Garamond" w:cs="Garamond"/>
                <w:color w:val="181717"/>
                <w:lang w:eastAsia="fr-FR"/>
              </w:rPr>
            </w:pPr>
            <w:r w:rsidRPr="00823B96">
              <w:rPr>
                <w:rFonts w:eastAsia="Garamond" w:cs="Garamond"/>
                <w:color w:val="181717"/>
                <w:lang w:eastAsia="fr-FR"/>
              </w:rPr>
              <w:t>Recours spontané à la lecture pour les besoins de l’apprentissage ou les besoins personnels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r w:rsidR="00C60B5D" w:rsidRPr="00823B96" w:rsidTr="000879F6">
        <w:tc>
          <w:tcPr>
            <w:tcW w:w="9049"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Autonomie dans le choix d’un ouvrage adapté à son niveau de lecture, selon ses goûts et ses besoins</w:t>
            </w:r>
          </w:p>
        </w:tc>
        <w:tc>
          <w:tcPr>
            <w:tcW w:w="620"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R</w:t>
            </w:r>
          </w:p>
        </w:tc>
        <w:tc>
          <w:tcPr>
            <w:tcW w:w="611"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c>
          <w:tcPr>
            <w:tcW w:w="492"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C60B5D" w:rsidRPr="00823B96" w:rsidRDefault="001A1782">
            <w:pPr>
              <w:pStyle w:val="TableContents"/>
            </w:pPr>
            <w:r w:rsidRPr="00823B96">
              <w:t>A</w:t>
            </w:r>
          </w:p>
        </w:tc>
      </w:tr>
    </w:tbl>
    <w:p w:rsidR="00C60B5D" w:rsidRDefault="00C60B5D">
      <w:pPr>
        <w:pStyle w:val="Standard"/>
      </w:pPr>
    </w:p>
    <w:p w:rsidR="005006AA" w:rsidRPr="00823B96" w:rsidRDefault="005006AA">
      <w:pPr>
        <w:pStyle w:val="Standard"/>
      </w:pPr>
      <w:r w:rsidRPr="005006AA">
        <w:t>Connaissances et compétences en relation avec les compétences travaillées en culture humaniste (compétences transversales).</w:t>
      </w:r>
    </w:p>
    <w:p w:rsidR="00C60B5D" w:rsidRPr="00823B96" w:rsidRDefault="00C60B5D">
      <w:pPr>
        <w:pStyle w:val="Standard"/>
        <w:pageBreakBefore/>
      </w:pPr>
    </w:p>
    <w:p w:rsidR="00C60B5D" w:rsidRPr="00823B96" w:rsidRDefault="001A1782">
      <w:pPr>
        <w:pStyle w:val="Standard"/>
        <w:shd w:val="clear" w:color="auto" w:fill="D9D9D9"/>
      </w:pPr>
      <w:r w:rsidRPr="00823B96">
        <w:rPr>
          <w:rFonts w:eastAsia="Times New Roman" w:cs="Calibri"/>
          <w:b/>
          <w:iCs/>
          <w:lang w:eastAsia="fr-FR"/>
        </w:rPr>
        <w:t>Écriture</w:t>
      </w:r>
      <w:r w:rsidRPr="00823B96">
        <w:rPr>
          <w:rFonts w:eastAsia="Times New Roman"/>
          <w:b/>
          <w:iCs/>
          <w:lang w:eastAsia="fr-FR"/>
        </w:rPr>
        <w:t xml:space="preserve"> - Domaines du socle CCC- 1</w:t>
      </w:r>
    </w:p>
    <w:p w:rsidR="00C60B5D" w:rsidRPr="00823B96" w:rsidRDefault="00C60B5D">
      <w:pPr>
        <w:pStyle w:val="Standard"/>
      </w:pPr>
    </w:p>
    <w:tbl>
      <w:tblPr>
        <w:tblW w:w="10772" w:type="dxa"/>
        <w:tblLayout w:type="fixed"/>
        <w:tblCellMar>
          <w:left w:w="10" w:type="dxa"/>
          <w:right w:w="10" w:type="dxa"/>
        </w:tblCellMar>
        <w:tblLook w:val="0000"/>
      </w:tblPr>
      <w:tblGrid>
        <w:gridCol w:w="9038"/>
        <w:gridCol w:w="620"/>
        <w:gridCol w:w="611"/>
        <w:gridCol w:w="503"/>
      </w:tblGrid>
      <w:tr w:rsidR="00C60B5D" w:rsidRPr="00823B96">
        <w:tc>
          <w:tcPr>
            <w:tcW w:w="9038"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62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CM1</w:t>
            </w:r>
          </w:p>
        </w:tc>
        <w:tc>
          <w:tcPr>
            <w:tcW w:w="611"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CM2</w:t>
            </w:r>
          </w:p>
        </w:tc>
        <w:tc>
          <w:tcPr>
            <w:tcW w:w="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6e</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rPr>
                <w:rFonts w:eastAsia="Garamond" w:cs="Garamond"/>
                <w:b/>
                <w:color w:val="181717"/>
                <w:lang w:eastAsia="fr-FR"/>
              </w:rPr>
            </w:pPr>
            <w:r w:rsidRPr="00823B96">
              <w:rPr>
                <w:rFonts w:eastAsia="Garamond" w:cs="Garamond"/>
                <w:b/>
                <w:color w:val="181717"/>
                <w:lang w:eastAsia="fr-FR"/>
              </w:rPr>
              <w:t>Écrire à la main de manière fluide et efficace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rPr>
                <w:rFonts w:eastAsia="Garamond" w:cs="Garamond"/>
                <w:color w:val="181717"/>
                <w:lang w:eastAsia="fr-FR"/>
              </w:rPr>
            </w:pPr>
            <w:r w:rsidRPr="00823B96">
              <w:rPr>
                <w:rFonts w:eastAsia="Garamond" w:cs="Garamond"/>
                <w:color w:val="181717"/>
                <w:lang w:eastAsia="fr-FR"/>
              </w:rPr>
              <w:t>Automatisation des gestes de l’écriture cursive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 xml:space="preserve"> Entraînement à la copie pour développer rapidité et efficacité</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b/>
                <w:color w:val="181717"/>
                <w:lang w:eastAsia="fr-FR"/>
              </w:rPr>
            </w:pPr>
            <w:r w:rsidRPr="00823B96">
              <w:rPr>
                <w:rFonts w:eastAsia="Garamond" w:cs="Garamond"/>
                <w:b/>
                <w:color w:val="181717"/>
                <w:lang w:eastAsia="fr-FR"/>
              </w:rPr>
              <w:t>Écrire avec un clavier rapidement et efficacement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Apprentissage méthodique de l’usage du clavier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left="29" w:hanging="29"/>
              <w:rPr>
                <w:rFonts w:eastAsia="Garamond" w:cs="Garamond"/>
                <w:color w:val="181717"/>
                <w:lang w:eastAsia="fr-FR"/>
              </w:rPr>
            </w:pPr>
            <w:r w:rsidRPr="00823B96">
              <w:rPr>
                <w:rFonts w:eastAsia="Garamond" w:cs="Garamond"/>
                <w:color w:val="181717"/>
                <w:lang w:eastAsia="fr-FR"/>
              </w:rPr>
              <w:t>Entraînement à l’écriture sur ordinateur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jc w:val="center"/>
            </w:pPr>
            <w:r w:rsidRPr="00823B96">
              <w:t>.</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Recourir à l’écriture pour réfléchir et pour apprendre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Écrits de travail pour formuler des impressions de lecture, émettre des hypothèses, articuler des idées, hiérarchiser, lister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27"/>
              <w:ind w:left="29"/>
              <w:rPr>
                <w:rFonts w:eastAsia="Garamond" w:cs="Garamond"/>
                <w:color w:val="181717"/>
                <w:lang w:eastAsia="fr-FR"/>
              </w:rPr>
            </w:pPr>
            <w:r w:rsidRPr="00823B96">
              <w:rPr>
                <w:rFonts w:eastAsia="Garamond" w:cs="Garamond"/>
                <w:color w:val="181717"/>
                <w:lang w:eastAsia="fr-FR"/>
              </w:rPr>
              <w:t>Écrits de travail pour reformuler, produire des conclusions provisoires, des résumés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1" w:line="254" w:lineRule="auto"/>
              <w:ind w:left="29"/>
              <w:rPr>
                <w:rFonts w:eastAsia="Garamond" w:cs="Garamond"/>
                <w:color w:val="181717"/>
                <w:lang w:eastAsia="fr-FR"/>
              </w:rPr>
            </w:pPr>
            <w:r w:rsidRPr="00823B96">
              <w:rPr>
                <w:rFonts w:eastAsia="Garamond" w:cs="Garamond"/>
                <w:color w:val="181717"/>
                <w:lang w:eastAsia="fr-FR"/>
              </w:rPr>
              <w:t>» Écrits réflexifs pour expliquer une démarche, justifier une réponse, argumenter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Produire des écrits variés en s’appropriant les différentes dimensions de l’activité d’écriture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Connaissances des caractéristiques principales des différents genres d’écrits à produire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8" w:line="254" w:lineRule="auto"/>
              <w:rPr>
                <w:rFonts w:eastAsia="Garamond" w:cs="Garamond"/>
                <w:color w:val="181717"/>
                <w:lang w:eastAsia="fr-FR"/>
              </w:rPr>
            </w:pPr>
            <w:r w:rsidRPr="00823B96">
              <w:rPr>
                <w:rFonts w:eastAsia="Garamond" w:cs="Garamond"/>
                <w:color w:val="181717"/>
                <w:lang w:eastAsia="fr-FR"/>
              </w:rPr>
              <w:t>Construction d’une posture d’auteur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right="62" w:hanging="170"/>
              <w:rPr>
                <w:rFonts w:eastAsia="Garamond" w:cs="Garamond"/>
                <w:color w:val="181717"/>
                <w:lang w:eastAsia="fr-FR"/>
              </w:rPr>
            </w:pPr>
            <w:r w:rsidRPr="00823B96">
              <w:rPr>
                <w:rFonts w:eastAsia="Garamond" w:cs="Garamond"/>
                <w:color w:val="181717"/>
                <w:lang w:eastAsia="fr-FR"/>
              </w:rPr>
              <w:t>Mise en œuvre (guidée, puis autonome) d’une démarche de production de textes : convoquer un univers de référence, un matériau linguistique, trouver et organiser des idées, élaborer des phrases, les enchaîner avec cohérence, élaborer des paragraphes ou d’autres formes d’organisation textuelles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Pratique du « brouillon » ou d’écrits de travail</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Connaissances sur la langue (mémoire orthographique des mots, règles d’accord, ponctuation, organisateurs du discours…)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xml:space="preserve"> Mobilisation des outils liés à l’étude de la langue à disposition dans la classe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1" w:line="216" w:lineRule="auto"/>
              <w:rPr>
                <w:rFonts w:eastAsia="Garamond" w:cs="Garamond"/>
                <w:b/>
                <w:color w:val="181717"/>
                <w:lang w:eastAsia="fr-FR"/>
              </w:rPr>
            </w:pPr>
            <w:r w:rsidRPr="00823B96">
              <w:rPr>
                <w:rFonts w:eastAsia="Garamond" w:cs="Garamond"/>
                <w:b/>
                <w:color w:val="181717"/>
                <w:lang w:eastAsia="fr-FR"/>
              </w:rPr>
              <w:t>Réécrire à partir de nouvelles consignes ou faire évoluer son texte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Conception de l’écriture comme un processus inscrit dans la durée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Mise à distance de son texte pour l’évaluer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Expérimentation de nouvelles consignes d’écriture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Enrichissement, recherche de formulations plus adéquates (= registre de langue)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Prendre en compte les normes de l’écrit pour formuler, transcrire et réviser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En lien avec la lecture, prise de conscience des éléments qui assurent la cohérence du texte (connecteurs logiques, temporels, reprises anaphoriques, temps verbaux) pour repérer des dysfonctionnements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line="216" w:lineRule="auto"/>
              <w:ind w:left="170" w:right="130" w:hanging="170"/>
              <w:rPr>
                <w:rFonts w:eastAsia="Garamond" w:cs="Garamond"/>
                <w:color w:val="181717"/>
                <w:lang w:eastAsia="fr-FR"/>
              </w:rPr>
            </w:pPr>
            <w:r w:rsidRPr="00823B96">
              <w:rPr>
                <w:rFonts w:eastAsia="Garamond" w:cs="Garamond"/>
                <w:color w:val="181717"/>
                <w:lang w:eastAsia="fr-FR"/>
              </w:rPr>
              <w:t>En lien avec la lecture et l’étude de la langue, mobilisation des connaissances portant sur la ponctuation (utilité, usage, participation</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au sens du texte) et sur la syntaxe (la phrase comme unité de sens)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right="58" w:hanging="170"/>
              <w:jc w:val="both"/>
              <w:rPr>
                <w:rFonts w:eastAsia="Garamond" w:cs="Garamond"/>
                <w:color w:val="181717"/>
                <w:lang w:eastAsia="fr-FR"/>
              </w:rPr>
            </w:pPr>
            <w:r w:rsidRPr="00823B96">
              <w:rPr>
                <w:rFonts w:eastAsia="Garamond" w:cs="Garamond"/>
                <w:color w:val="181717"/>
                <w:lang w:eastAsia="fr-FR"/>
              </w:rPr>
              <w:t>Prise en compte de la notion de paragraphe et des formes d’organisation du texte propres aux différents genres et types d’écrits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right="58" w:hanging="170"/>
              <w:jc w:val="both"/>
              <w:rPr>
                <w:rFonts w:eastAsia="Garamond" w:cs="Garamond"/>
                <w:color w:val="181717"/>
                <w:lang w:eastAsia="fr-FR"/>
              </w:rPr>
            </w:pPr>
            <w:r w:rsidRPr="00823B96">
              <w:rPr>
                <w:rFonts w:eastAsia="Garamond" w:cs="Garamond"/>
                <w:color w:val="181717"/>
                <w:lang w:eastAsia="fr-FR"/>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038"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jc w:val="both"/>
              <w:rPr>
                <w:rFonts w:eastAsia="Garamond" w:cs="Garamond"/>
                <w:color w:val="181717"/>
                <w:lang w:eastAsia="fr-FR"/>
              </w:rPr>
            </w:pPr>
            <w:r w:rsidRPr="00823B96">
              <w:rPr>
                <w:rFonts w:eastAsia="Garamond" w:cs="Garamond"/>
                <w:color w:val="181717"/>
                <w:lang w:eastAsia="fr-FR"/>
              </w:rPr>
              <w:t>Mobilisation des connaissances portant sur l’orthographe lexicale et capacité à vérifier l’orthographe des mots dont on doute avec les outils disponibles dans la classe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1"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bl>
    <w:p w:rsidR="00C60B5D" w:rsidRPr="00823B96" w:rsidRDefault="00C60B5D">
      <w:pPr>
        <w:pStyle w:val="Standard"/>
      </w:pPr>
    </w:p>
    <w:p w:rsidR="00C60B5D" w:rsidRPr="00823B96" w:rsidRDefault="00C60B5D">
      <w:pPr>
        <w:pStyle w:val="Standard"/>
        <w:pageBreakBefore/>
      </w:pPr>
    </w:p>
    <w:p w:rsidR="00C60B5D" w:rsidRPr="00823B96" w:rsidRDefault="001A1782">
      <w:pPr>
        <w:pStyle w:val="Standard"/>
        <w:shd w:val="clear" w:color="auto" w:fill="D9D9D9"/>
      </w:pPr>
      <w:r w:rsidRPr="00823B96">
        <w:rPr>
          <w:rFonts w:cs="Calibri"/>
          <w:b/>
          <w:lang w:eastAsia="fr-FR"/>
        </w:rPr>
        <w:t>Étude de la langue (Grammaire-Orthographe-Conjugaison)</w:t>
      </w:r>
      <w:r w:rsidRPr="00823B96">
        <w:rPr>
          <w:rFonts w:eastAsia="Times New Roman"/>
          <w:b/>
          <w:iCs/>
          <w:lang w:eastAsia="fr-FR"/>
        </w:rPr>
        <w:t xml:space="preserve"> - Domaines du socle CCC – 1-2</w:t>
      </w:r>
    </w:p>
    <w:p w:rsidR="00C60B5D" w:rsidRPr="00823B96" w:rsidRDefault="00C60B5D">
      <w:pPr>
        <w:pStyle w:val="Standard"/>
      </w:pPr>
    </w:p>
    <w:tbl>
      <w:tblPr>
        <w:tblW w:w="10760" w:type="dxa"/>
        <w:tblLayout w:type="fixed"/>
        <w:tblCellMar>
          <w:left w:w="10" w:type="dxa"/>
          <w:right w:w="10" w:type="dxa"/>
        </w:tblCellMar>
        <w:tblLook w:val="0000"/>
      </w:tblPr>
      <w:tblGrid>
        <w:gridCol w:w="9199"/>
        <w:gridCol w:w="620"/>
        <w:gridCol w:w="610"/>
        <w:gridCol w:w="331"/>
      </w:tblGrid>
      <w:tr w:rsidR="00C60B5D" w:rsidRPr="00823B96">
        <w:tc>
          <w:tcPr>
            <w:tcW w:w="9199"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62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CM1</w:t>
            </w:r>
          </w:p>
        </w:tc>
        <w:tc>
          <w:tcPr>
            <w:tcW w:w="61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CM2</w:t>
            </w:r>
          </w:p>
        </w:tc>
        <w:tc>
          <w:tcPr>
            <w:tcW w:w="3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6e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rPr>
                <w:rFonts w:eastAsia="Garamond" w:cs="Garamond"/>
                <w:b/>
                <w:color w:val="181717"/>
                <w:lang w:eastAsia="fr-FR"/>
              </w:rPr>
            </w:pPr>
            <w:r w:rsidRPr="00823B96">
              <w:rPr>
                <w:rFonts w:eastAsia="Garamond" w:cs="Garamond"/>
                <w:b/>
                <w:color w:val="181717"/>
                <w:lang w:eastAsia="fr-FR"/>
              </w:rPr>
              <w:t>Maîtriser les relations entre l’oral et l’écrit</w:t>
            </w:r>
          </w:p>
          <w:p w:rsidR="00C60B5D" w:rsidRPr="00823B96" w:rsidRDefault="00C60B5D">
            <w:pPr>
              <w:pStyle w:val="Standard"/>
              <w:ind w:right="176"/>
              <w:rPr>
                <w:rFonts w:cs="Calibri"/>
                <w:lang w:eastAsia="fr-FR"/>
              </w:rPr>
            </w:pP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Ensemble des phonèmes du français et des graphèmes associés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Variation et marques morphologiques à l’oral et à l’écrit (noms, déterminants, adjectifs, pronoms, verbes)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Acquérir la structure, le sens et l’orthographe des mots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Observations morphologiques : dérivation et composition, explications sur la graphie des mots, établissement de séries de mots (en lien avec la lecture et l’écriture)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 xml:space="preserve">Mise en réseau de mots (groupements par champ lexical)                                           </w:t>
            </w:r>
            <w:r w:rsidRPr="00823B96">
              <w:rPr>
                <w:rFonts w:eastAsia="Garamond" w:cs="Garamond"/>
                <w:b/>
                <w:bCs/>
                <w:color w:val="181717"/>
                <w:lang w:eastAsia="fr-FR"/>
              </w:rPr>
              <w: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1" w:line="254" w:lineRule="auto"/>
              <w:ind w:left="29"/>
              <w:rPr>
                <w:rFonts w:eastAsia="Garamond" w:cs="Garamond"/>
                <w:color w:val="181717"/>
                <w:lang w:eastAsia="fr-FR"/>
              </w:rPr>
            </w:pPr>
            <w:r w:rsidRPr="00823B96">
              <w:rPr>
                <w:rFonts w:eastAsia="Garamond" w:cs="Garamond"/>
                <w:color w:val="181717"/>
                <w:lang w:eastAsia="fr-FR"/>
              </w:rPr>
              <w:t>Analyse du sens des mots : polysémie et synonymie, catégorisations (termes génériques/spécifiques)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Découverte des bases latines et grecques, dérivation et composition à partir d’éléments latins ou grecs, repérage des mots appartenant au vocabulaire savant, construction de séries lexicales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right="638"/>
              <w:rPr>
                <w:rFonts w:eastAsia="Garamond" w:cs="Garamond"/>
                <w:b/>
                <w:color w:val="181717"/>
                <w:lang w:eastAsia="fr-FR"/>
              </w:rPr>
            </w:pPr>
            <w:r w:rsidRPr="00823B96">
              <w:rPr>
                <w:rFonts w:eastAsia="Garamond" w:cs="Garamond"/>
                <w:b/>
                <w:color w:val="181717"/>
                <w:lang w:eastAsia="fr-FR"/>
              </w:rPr>
              <w:t>Maîtriser la forme des mots en lien avec la syntaxe</w:t>
            </w:r>
          </w:p>
          <w:p w:rsidR="00C60B5D" w:rsidRPr="00823B96" w:rsidRDefault="00C60B5D">
            <w:pPr>
              <w:pStyle w:val="Standard"/>
              <w:rPr>
                <w:rFonts w:eastAsia="Times New Roman"/>
                <w:b/>
                <w:i/>
                <w:iCs/>
                <w:lang w:eastAsia="fr-FR"/>
              </w:rPr>
            </w:pP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Observation des marques du genre et du nombre entendues et écrites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line="216" w:lineRule="auto"/>
              <w:ind w:left="170" w:hanging="170"/>
              <w:rPr>
                <w:rFonts w:eastAsia="Garamond" w:cs="Garamond"/>
                <w:color w:val="181717"/>
                <w:lang w:eastAsia="fr-FR"/>
              </w:rPr>
            </w:pPr>
            <w:r w:rsidRPr="00823B96">
              <w:rPr>
                <w:rFonts w:eastAsia="Garamond" w:cs="Garamond"/>
                <w:color w:val="181717"/>
                <w:lang w:eastAsia="fr-FR"/>
              </w:rPr>
              <w:t>Identification des classes de mot subissant des variations : le nom et le verbe ; le déterminant</w:t>
            </w:r>
          </w:p>
          <w:p w:rsidR="00C60B5D" w:rsidRPr="00823B96" w:rsidRDefault="001A1782">
            <w:pPr>
              <w:pStyle w:val="Standard"/>
              <w:numPr>
                <w:ilvl w:val="0"/>
                <w:numId w:val="1"/>
              </w:numPr>
              <w:spacing w:after="8" w:line="254" w:lineRule="auto"/>
              <w:rPr>
                <w:rFonts w:eastAsia="Garamond" w:cs="Garamond"/>
                <w:color w:val="181717"/>
                <w:lang w:eastAsia="fr-FR"/>
              </w:rPr>
            </w:pPr>
            <w:r w:rsidRPr="00823B96">
              <w:rPr>
                <w:rFonts w:eastAsia="Garamond" w:cs="Garamond"/>
                <w:color w:val="181717"/>
                <w:lang w:eastAsia="fr-FR"/>
              </w:rPr>
              <w:t>l’adjectif – le pronom</w:t>
            </w:r>
          </w:p>
          <w:p w:rsidR="00C60B5D" w:rsidRPr="00823B96" w:rsidRDefault="00C60B5D">
            <w:pPr>
              <w:pStyle w:val="Standard"/>
              <w:spacing w:after="8" w:line="254" w:lineRule="auto"/>
              <w:rPr>
                <w:rFonts w:eastAsia="Garamond" w:cs="Garamond"/>
                <w:color w:val="181717"/>
                <w:lang w:eastAsia="fr-FR"/>
              </w:rPr>
            </w:pP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10" w:line="254" w:lineRule="auto"/>
              <w:rPr>
                <w:rFonts w:eastAsia="Garamond" w:cs="Garamond"/>
                <w:color w:val="181717"/>
                <w:lang w:eastAsia="fr-FR"/>
              </w:rPr>
            </w:pPr>
            <w:r w:rsidRPr="00823B96">
              <w:rPr>
                <w:rFonts w:eastAsia="Garamond" w:cs="Garamond"/>
                <w:color w:val="181717"/>
                <w:lang w:eastAsia="fr-FR"/>
              </w:rPr>
              <w:t>Notion de groupe nominal et accords au sein du groupe nominal</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Accord du verbe avec son sujet,</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de l’attribut avec le sujet,</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du participe passé avec être (à rapprocher de l’accord de l’attribut avec le sujet)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p w:rsidR="00C60B5D" w:rsidRPr="00823B96" w:rsidRDefault="00C60B5D">
            <w:pPr>
              <w:pStyle w:val="TableContents"/>
            </w:pPr>
          </w:p>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p w:rsidR="00C60B5D" w:rsidRPr="00823B96" w:rsidRDefault="00C60B5D">
            <w:pPr>
              <w:pStyle w:val="TableContents"/>
            </w:pPr>
          </w:p>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p w:rsidR="00C60B5D" w:rsidRPr="00823B96" w:rsidRDefault="001A1782">
            <w:pPr>
              <w:pStyle w:val="TableContents"/>
            </w:pPr>
            <w:r w:rsidRPr="00823B96">
              <w:t>E</w:t>
            </w:r>
          </w:p>
          <w:p w:rsidR="00C60B5D" w:rsidRPr="00823B96" w:rsidRDefault="001A1782">
            <w:pPr>
              <w:pStyle w:val="TableContents"/>
            </w:pPr>
            <w:r w:rsidRPr="00823B96">
              <w:t>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Élaboration de règles de fonctionnement construites sur les régularités.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Observer le fonctionnement du verbe et l’orthographier</w:t>
            </w:r>
          </w:p>
          <w:p w:rsidR="00C60B5D" w:rsidRPr="00823B96" w:rsidRDefault="00C60B5D">
            <w:pPr>
              <w:pStyle w:val="Standard"/>
              <w:spacing w:after="52" w:line="216" w:lineRule="auto"/>
              <w:rPr>
                <w:rFonts w:eastAsia="Garamond" w:cs="Garamond"/>
                <w:b/>
                <w:color w:val="181717"/>
                <w:lang w:eastAsia="fr-FR"/>
              </w:rPr>
            </w:pP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Reconnaissance du verbe (utilisation de plusieurs procédures)</w:t>
            </w:r>
          </w:p>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Mise en évidence du lien sens-syntaxe : place et rôle du verbe, constructions verbales, compléments du verbe et groupe verbal</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p w:rsidR="00C60B5D" w:rsidRPr="00823B96" w:rsidRDefault="001A1782">
            <w:pPr>
              <w:pStyle w:val="TableContents"/>
            </w:pPr>
            <w:r w:rsidRPr="00823B96">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line="216" w:lineRule="auto"/>
              <w:ind w:left="170" w:right="286" w:hanging="170"/>
              <w:rPr>
                <w:rFonts w:eastAsia="Garamond" w:cs="Garamond"/>
                <w:color w:val="181717"/>
                <w:lang w:eastAsia="fr-FR"/>
              </w:rPr>
            </w:pPr>
            <w:r w:rsidRPr="00823B96">
              <w:rPr>
                <w:rFonts w:eastAsia="Garamond" w:cs="Garamond"/>
                <w:color w:val="181717"/>
                <w:lang w:eastAsia="fr-FR"/>
              </w:rPr>
              <w:t>Morphologie verbale écrite en appui sur les régularités et la décomposition du verbe (radical-marques de temps-marques de personne) ;</w:t>
            </w:r>
          </w:p>
          <w:p w:rsidR="00C60B5D" w:rsidRPr="00823B96" w:rsidRDefault="001A1782">
            <w:pPr>
              <w:pStyle w:val="Standard"/>
              <w:spacing w:line="216" w:lineRule="auto"/>
              <w:ind w:left="170" w:right="286" w:hanging="170"/>
              <w:rPr>
                <w:rFonts w:eastAsia="Garamond" w:cs="Garamond"/>
                <w:color w:val="181717"/>
                <w:lang w:eastAsia="fr-FR"/>
              </w:rPr>
            </w:pPr>
            <w:r w:rsidRPr="00823B96">
              <w:rPr>
                <w:rFonts w:eastAsia="Garamond" w:cs="Garamond"/>
                <w:color w:val="181717"/>
                <w:lang w:eastAsia="fr-FR"/>
              </w:rPr>
              <w:t xml:space="preserve">    distinction temps simples/temps composés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fréquents (être, avoir, aller, faire, dire, prendre, pouvoir, voir, devoir, vouloir)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rPr>
                <w:sz w:val="26"/>
                <w:szCs w:val="26"/>
              </w:rPr>
            </w:pPr>
            <w:r w:rsidRPr="00823B96">
              <w:rPr>
                <w:sz w:val="26"/>
                <w:szCs w:val="26"/>
              </w:rPr>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à l’imparfait,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rPr>
                <w:sz w:val="26"/>
                <w:szCs w:val="26"/>
              </w:rPr>
            </w:pPr>
            <w:r w:rsidRPr="00823B96">
              <w:rPr>
                <w:sz w:val="26"/>
                <w:szCs w:val="26"/>
              </w:rPr>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au futur,</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rPr>
                <w:sz w:val="26"/>
                <w:szCs w:val="26"/>
              </w:rPr>
            </w:pPr>
            <w:r w:rsidRPr="00823B96">
              <w:rPr>
                <w:sz w:val="26"/>
                <w:szCs w:val="26"/>
              </w:rPr>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au présent,</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rPr>
                <w:sz w:val="26"/>
                <w:szCs w:val="26"/>
              </w:rPr>
            </w:pPr>
            <w:r w:rsidRPr="00823B96">
              <w:rPr>
                <w:sz w:val="26"/>
                <w:szCs w:val="26"/>
              </w:rPr>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au conditionnel,</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rPr>
                <w:sz w:val="26"/>
                <w:szCs w:val="26"/>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à l’impératif</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rPr>
                <w:sz w:val="26"/>
                <w:szCs w:val="26"/>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ind w:left="170" w:hanging="170"/>
              <w:rPr>
                <w:rFonts w:eastAsia="Garamond" w:cs="Garamond"/>
                <w:color w:val="181717"/>
                <w:lang w:eastAsia="fr-FR"/>
              </w:rPr>
            </w:pPr>
            <w:r w:rsidRPr="00823B96">
              <w:rPr>
                <w:rFonts w:eastAsia="Garamond" w:cs="Garamond"/>
                <w:color w:val="181717"/>
                <w:lang w:eastAsia="fr-FR"/>
              </w:rPr>
              <w:t>Mémorisation des verbes aux 3èmes personnes du passé simple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rPr>
                <w:sz w:val="26"/>
                <w:szCs w:val="26"/>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Approche de l’aspect verbal (valeurs des temps) abordé à travers l’emploi des verbes dans les textes lus et en production écrite ou orale (le récit au passé simple à la 3ème personne, le discours au présent ou au passé composé, etc.).</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Standard"/>
              <w:spacing w:after="52" w:line="216" w:lineRule="auto"/>
              <w:rPr>
                <w:rFonts w:eastAsia="Garamond" w:cs="Garamond"/>
                <w:b/>
                <w:color w:val="181717"/>
                <w:lang w:eastAsia="fr-FR"/>
              </w:rPr>
            </w:pPr>
          </w:p>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Identifier les constituants d’une phrase simple en relation avec sa cohérence sémantique ; distinguer phrase simple et phrase complexe</w:t>
            </w:r>
          </w:p>
          <w:p w:rsidR="00C60B5D" w:rsidRPr="00823B96" w:rsidRDefault="00C60B5D">
            <w:pPr>
              <w:pStyle w:val="Standard"/>
              <w:rPr>
                <w:rFonts w:eastAsia="Times New Roman"/>
                <w:b/>
                <w:i/>
                <w:iCs/>
                <w:lang w:eastAsia="fr-FR"/>
              </w:rPr>
            </w:pP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Mise en évidence de la cohérence sémantique de la phrase : de quoi on parle et ce qu’on en dit, à quoi on peut rajouter des compléments de phrase facultatifs</w:t>
            </w:r>
          </w:p>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CCL,CCT,CCM</w:t>
            </w:r>
          </w:p>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 xml:space="preserve"> + autres (but, cause,..)</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A</w:t>
            </w:r>
          </w:p>
          <w:p w:rsidR="00C60B5D" w:rsidRPr="00823B96" w:rsidRDefault="001A1782">
            <w:pPr>
              <w:pStyle w:val="TableContents"/>
            </w:pPr>
            <w:r w:rsidRPr="00823B96">
              <w:t>E</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Mise en évidence des groupes syntaxiques :</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le sujet de la phrase : un groupe nominal, un pronom, une subordonnée ;</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xml:space="preserve">- le </w:t>
            </w:r>
            <w:r w:rsidRPr="00823B96">
              <w:rPr>
                <w:rFonts w:eastAsia="Garamond" w:cs="Garamond"/>
                <w:b/>
                <w:bCs/>
                <w:i/>
                <w:iCs/>
                <w:color w:val="181717"/>
                <w:lang w:eastAsia="fr-FR"/>
              </w:rPr>
              <w:t>prédicat*</w:t>
            </w:r>
            <w:r w:rsidRPr="00823B96">
              <w:rPr>
                <w:rFonts w:eastAsia="Garamond" w:cs="Garamond"/>
                <w:color w:val="181717"/>
                <w:lang w:eastAsia="fr-FR"/>
              </w:rPr>
              <w:t xml:space="preserve"> de la phrase, c’est-à-dire ce qu’on dit du sujet (très souvent un </w:t>
            </w:r>
            <w:r w:rsidRPr="00823B96">
              <w:rPr>
                <w:rFonts w:eastAsia="Garamond" w:cs="Garamond"/>
                <w:color w:val="181717"/>
                <w:u w:val="single"/>
                <w:lang w:eastAsia="fr-FR"/>
              </w:rPr>
              <w:t>groupe verbal</w:t>
            </w:r>
            <w:r w:rsidRPr="00823B96">
              <w:rPr>
                <w:rFonts w:eastAsia="Garamond" w:cs="Garamond"/>
                <w:color w:val="181717"/>
                <w:lang w:eastAsia="fr-FR"/>
              </w:rPr>
              <w:t xml:space="preserve"> formé du verbe et des compléments du verbe s’il en a) :</w:t>
            </w:r>
          </w:p>
          <w:p w:rsidR="00C60B5D" w:rsidRPr="00823B96" w:rsidRDefault="001A1782">
            <w:pPr>
              <w:pStyle w:val="Standard"/>
              <w:jc w:val="right"/>
              <w:rPr>
                <w:rFonts w:eastAsia="Garamond" w:cs="Garamond"/>
                <w:color w:val="181717"/>
                <w:lang w:eastAsia="fr-FR"/>
              </w:rPr>
            </w:pPr>
            <w:r w:rsidRPr="00823B96">
              <w:rPr>
                <w:rFonts w:eastAsia="Garamond" w:cs="Garamond"/>
                <w:color w:val="181717"/>
                <w:lang w:eastAsia="fr-FR"/>
              </w:rPr>
              <w:t xml:space="preserve">                 </w:t>
            </w:r>
          </w:p>
          <w:p w:rsidR="00C60B5D" w:rsidRPr="00823B96" w:rsidRDefault="001A1782">
            <w:pPr>
              <w:pStyle w:val="Standard"/>
              <w:jc w:val="right"/>
              <w:rPr>
                <w:rFonts w:eastAsia="Garamond" w:cs="Garamond"/>
                <w:color w:val="181717"/>
                <w:lang w:eastAsia="fr-FR"/>
              </w:rPr>
            </w:pPr>
            <w:r w:rsidRPr="00823B96">
              <w:rPr>
                <w:rFonts w:eastAsia="Garamond" w:cs="Garamond"/>
                <w:color w:val="181717"/>
                <w:lang w:eastAsia="fr-FR"/>
              </w:rPr>
              <w:t>le COD</w:t>
            </w:r>
          </w:p>
          <w:p w:rsidR="00C60B5D" w:rsidRPr="00823B96" w:rsidRDefault="001A1782">
            <w:pPr>
              <w:pStyle w:val="Standard"/>
              <w:jc w:val="right"/>
              <w:rPr>
                <w:rFonts w:eastAsia="Garamond" w:cs="Garamond"/>
                <w:color w:val="181717"/>
                <w:lang w:eastAsia="fr-FR"/>
              </w:rPr>
            </w:pPr>
            <w:r w:rsidRPr="00823B96">
              <w:rPr>
                <w:rFonts w:eastAsia="Garamond" w:cs="Garamond"/>
                <w:color w:val="181717"/>
                <w:lang w:eastAsia="fr-FR"/>
              </w:rPr>
              <w:t>le COI</w:t>
            </w:r>
          </w:p>
          <w:p w:rsidR="00C60B5D" w:rsidRPr="00823B96" w:rsidRDefault="001A1782">
            <w:pPr>
              <w:pStyle w:val="Standard"/>
              <w:jc w:val="right"/>
              <w:rPr>
                <w:rFonts w:eastAsia="Garamond" w:cs="Garamond"/>
                <w:color w:val="181717"/>
                <w:lang w:eastAsia="fr-FR"/>
              </w:rPr>
            </w:pPr>
            <w:r w:rsidRPr="00823B96">
              <w:rPr>
                <w:rFonts w:eastAsia="Garamond" w:cs="Garamond"/>
                <w:color w:val="181717"/>
                <w:lang w:eastAsia="fr-FR"/>
              </w:rPr>
              <w:t>le COS</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les expansions du nom :</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xml:space="preserve">                                             l'adjectif épithète</w:t>
            </w:r>
          </w:p>
          <w:p w:rsidR="00C60B5D" w:rsidRPr="00823B96" w:rsidRDefault="001A1782">
            <w:pPr>
              <w:pStyle w:val="Standard"/>
              <w:rPr>
                <w:rFonts w:eastAsia="Garamond" w:cs="Garamond"/>
                <w:color w:val="181717"/>
                <w:lang w:eastAsia="fr-FR"/>
              </w:rPr>
            </w:pPr>
            <w:r w:rsidRPr="00823B96">
              <w:rPr>
                <w:rFonts w:eastAsia="Garamond" w:cs="Garamond"/>
                <w:b/>
                <w:bCs/>
                <w:i/>
                <w:iCs/>
                <w:color w:val="181717"/>
                <w:lang w:eastAsia="fr-FR"/>
              </w:rPr>
              <w:t xml:space="preserve">                                             </w:t>
            </w:r>
            <w:r w:rsidRPr="00823B96">
              <w:rPr>
                <w:rFonts w:eastAsia="Garamond" w:cs="Garamond"/>
                <w:color w:val="181717"/>
                <w:lang w:eastAsia="fr-FR"/>
              </w:rPr>
              <w:t>le complément du nom</w:t>
            </w:r>
          </w:p>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 xml:space="preserve">                                             une subordonnée</w:t>
            </w:r>
          </w:p>
          <w:p w:rsidR="00C60B5D" w:rsidRPr="00823B96" w:rsidRDefault="00C60B5D">
            <w:pPr>
              <w:pStyle w:val="Standard"/>
              <w:rPr>
                <w:rFonts w:eastAsia="Garamond" w:cs="Garamond"/>
                <w:b/>
                <w:bCs/>
                <w:i/>
                <w:iCs/>
                <w:color w:val="181717"/>
                <w:lang w:eastAsia="fr-FR"/>
              </w:rPr>
            </w:pPr>
          </w:p>
          <w:p w:rsidR="00C60B5D" w:rsidRPr="00823B96" w:rsidRDefault="001A1782">
            <w:pPr>
              <w:pStyle w:val="Standard"/>
              <w:rPr>
                <w:rFonts w:eastAsia="Garamond" w:cs="Garamond"/>
                <w:b/>
                <w:bCs/>
                <w:i/>
                <w:iCs/>
                <w:color w:val="181717"/>
                <w:lang w:eastAsia="fr-FR"/>
              </w:rPr>
            </w:pPr>
            <w:r w:rsidRPr="00823B96">
              <w:rPr>
                <w:rFonts w:eastAsia="Garamond" w:cs="Garamond"/>
                <w:b/>
                <w:bCs/>
                <w:i/>
                <w:iCs/>
                <w:color w:val="181717"/>
                <w:lang w:eastAsia="fr-FR"/>
              </w:rPr>
              <w:t>un groupe adjectival*, un groupe prépositionnel*,</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1A1782">
            <w:pPr>
              <w:pStyle w:val="TableContents"/>
            </w:pPr>
            <w:r w:rsidRPr="00823B96">
              <w:t>E</w:t>
            </w:r>
          </w:p>
          <w:p w:rsidR="00C60B5D" w:rsidRPr="00823B96" w:rsidRDefault="001A1782">
            <w:pPr>
              <w:pStyle w:val="TableContents"/>
            </w:pPr>
            <w:r w:rsidRPr="00823B96">
              <w:t>E</w:t>
            </w: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p w:rsidR="00C60B5D" w:rsidRPr="00823B96" w:rsidRDefault="001A1782">
            <w:pPr>
              <w:pStyle w:val="TableContents"/>
            </w:pPr>
            <w:r w:rsidRPr="00823B96">
              <w:t>E</w:t>
            </w: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1A1782">
            <w:pPr>
              <w:pStyle w:val="TableContents"/>
            </w:pPr>
            <w:r w:rsidRPr="00823B96">
              <w:t>R</w:t>
            </w:r>
          </w:p>
          <w:p w:rsidR="00C60B5D" w:rsidRPr="00823B96" w:rsidRDefault="001A1782">
            <w:pPr>
              <w:pStyle w:val="TableContents"/>
            </w:pPr>
            <w:r w:rsidRPr="00823B96">
              <w:t>R</w:t>
            </w: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R</w:t>
            </w:r>
          </w:p>
          <w:p w:rsidR="00C60B5D" w:rsidRPr="00823B96" w:rsidRDefault="001A1782">
            <w:pPr>
              <w:pStyle w:val="TableContents"/>
            </w:pPr>
            <w:r w:rsidRPr="00823B96">
              <w:t>R</w:t>
            </w: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R</w:t>
            </w:r>
          </w:p>
          <w:p w:rsidR="00C60B5D" w:rsidRPr="00823B96" w:rsidRDefault="001A1782">
            <w:pPr>
              <w:pStyle w:val="TableContents"/>
            </w:pPr>
            <w:r w:rsidRPr="00823B96">
              <w:t>E</w:t>
            </w:r>
          </w:p>
          <w:p w:rsidR="00C60B5D" w:rsidRPr="00823B96" w:rsidRDefault="001A1782">
            <w:pPr>
              <w:pStyle w:val="TableContents"/>
            </w:pPr>
            <w:r w:rsidRPr="00823B96">
              <w:t>E</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1A1782">
            <w:pPr>
              <w:pStyle w:val="TableContents"/>
            </w:pPr>
            <w:r w:rsidRPr="00823B96">
              <w:t>A</w:t>
            </w:r>
          </w:p>
          <w:p w:rsidR="00C60B5D" w:rsidRPr="00823B96" w:rsidRDefault="001A1782">
            <w:pPr>
              <w:pStyle w:val="TableContents"/>
            </w:pPr>
            <w:r w:rsidRPr="00823B96">
              <w:t>A</w:t>
            </w: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A</w:t>
            </w:r>
          </w:p>
          <w:p w:rsidR="00C60B5D" w:rsidRPr="00823B96" w:rsidRDefault="001A1782">
            <w:pPr>
              <w:pStyle w:val="TableContents"/>
            </w:pPr>
            <w:r w:rsidRPr="00823B96">
              <w:t>A</w:t>
            </w:r>
          </w:p>
          <w:p w:rsidR="00C60B5D" w:rsidRPr="00823B96" w:rsidRDefault="001A1782">
            <w:pPr>
              <w:pStyle w:val="TableContents"/>
            </w:pPr>
            <w:r w:rsidRPr="00823B96">
              <w:t>E</w:t>
            </w:r>
          </w:p>
          <w:p w:rsidR="00C60B5D" w:rsidRPr="00823B96" w:rsidRDefault="00C60B5D">
            <w:pPr>
              <w:pStyle w:val="TableContents"/>
            </w:pPr>
          </w:p>
          <w:p w:rsidR="00C60B5D" w:rsidRPr="00823B96" w:rsidRDefault="001A1782">
            <w:pPr>
              <w:pStyle w:val="TableContents"/>
            </w:pPr>
            <w:r w:rsidRPr="00823B96">
              <w:t>A</w:t>
            </w:r>
          </w:p>
          <w:p w:rsidR="00C60B5D" w:rsidRPr="00823B96" w:rsidRDefault="001A1782">
            <w:pPr>
              <w:pStyle w:val="TableContents"/>
            </w:pPr>
            <w:r w:rsidRPr="00823B96">
              <w:t>R</w:t>
            </w:r>
          </w:p>
          <w:p w:rsidR="00C60B5D" w:rsidRPr="00823B96" w:rsidRDefault="001A1782">
            <w:pPr>
              <w:pStyle w:val="TableContents"/>
            </w:pPr>
            <w:r w:rsidRPr="00823B96">
              <w:t>R</w:t>
            </w:r>
          </w:p>
        </w:tc>
      </w:tr>
      <w:tr w:rsidR="00C60B5D" w:rsidRPr="00823B96">
        <w:tc>
          <w:tcPr>
            <w:tcW w:w="9199"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rPr>
                <w:rFonts w:eastAsia="Garamond" w:cs="Garamond"/>
                <w:color w:val="181717"/>
                <w:lang w:eastAsia="fr-FR"/>
              </w:rPr>
            </w:pPr>
            <w:r w:rsidRPr="00823B96">
              <w:rPr>
                <w:rFonts w:eastAsia="Garamond" w:cs="Garamond"/>
                <w:color w:val="181717"/>
                <w:lang w:eastAsia="fr-FR"/>
              </w:rPr>
              <w:t>Distinction phrase simple-phrase complexe à partir du repérage des verbes</w:t>
            </w:r>
          </w:p>
        </w:tc>
        <w:tc>
          <w:tcPr>
            <w:tcW w:w="62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bl>
    <w:p w:rsidR="00C60B5D" w:rsidRPr="00823B96" w:rsidRDefault="00C60B5D">
      <w:pPr>
        <w:pStyle w:val="Standard"/>
      </w:pPr>
    </w:p>
    <w:p w:rsidR="00C60B5D" w:rsidRPr="005006AA" w:rsidRDefault="001A1782">
      <w:pPr>
        <w:pStyle w:val="Standard"/>
        <w:rPr>
          <w:i/>
        </w:rPr>
      </w:pPr>
      <w:r w:rsidRPr="005006AA">
        <w:rPr>
          <w:bCs/>
          <w:i/>
          <w:sz w:val="28"/>
          <w:szCs w:val="28"/>
        </w:rPr>
        <w:t>* Ces dénominations sont rejetées par le groupe.</w:t>
      </w:r>
    </w:p>
    <w:p w:rsidR="00C60B5D" w:rsidRPr="00823B96" w:rsidRDefault="00C60B5D">
      <w:pPr>
        <w:pStyle w:val="Standard"/>
        <w:pageBreakBefore/>
      </w:pPr>
    </w:p>
    <w:p w:rsidR="00C60B5D" w:rsidRPr="00823B96" w:rsidRDefault="001A1782">
      <w:pPr>
        <w:pStyle w:val="Standard"/>
        <w:shd w:val="clear" w:color="auto" w:fill="D9D9D9"/>
      </w:pPr>
      <w:r w:rsidRPr="00823B96">
        <w:rPr>
          <w:rFonts w:cs="Calibri"/>
          <w:b/>
          <w:lang w:eastAsia="fr-FR"/>
        </w:rPr>
        <w:t>Culture littéraire</w:t>
      </w:r>
      <w:r w:rsidRPr="00823B96">
        <w:rPr>
          <w:rFonts w:eastAsia="Times New Roman"/>
          <w:b/>
          <w:iCs/>
          <w:lang w:eastAsia="fr-FR"/>
        </w:rPr>
        <w:t xml:space="preserve"> - Domaines du socle CCC -</w:t>
      </w:r>
    </w:p>
    <w:p w:rsidR="00C60B5D" w:rsidRPr="00823B96" w:rsidRDefault="00C60B5D">
      <w:pPr>
        <w:pStyle w:val="Standard"/>
      </w:pPr>
    </w:p>
    <w:tbl>
      <w:tblPr>
        <w:tblW w:w="10772" w:type="dxa"/>
        <w:tblLayout w:type="fixed"/>
        <w:tblCellMar>
          <w:left w:w="10" w:type="dxa"/>
          <w:right w:w="10" w:type="dxa"/>
        </w:tblCellMar>
        <w:tblLook w:val="0000"/>
      </w:tblPr>
      <w:tblGrid>
        <w:gridCol w:w="9550"/>
        <w:gridCol w:w="610"/>
        <w:gridCol w:w="612"/>
      </w:tblGrid>
      <w:tr w:rsidR="00C60B5D" w:rsidRPr="00823B96">
        <w:tc>
          <w:tcPr>
            <w:tcW w:w="955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61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CM1</w:t>
            </w:r>
          </w:p>
        </w:tc>
        <w:tc>
          <w:tcPr>
            <w:tcW w:w="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CM2</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jc w:val="center"/>
              <w:rPr>
                <w:b/>
              </w:rPr>
            </w:pPr>
            <w:r w:rsidRPr="00823B96">
              <w:rPr>
                <w:b/>
              </w:rPr>
              <w:t>CM1 CM2</w:t>
            </w:r>
          </w:p>
          <w:p w:rsidR="00C60B5D" w:rsidRPr="00823B96" w:rsidRDefault="001A1782">
            <w:pPr>
              <w:pStyle w:val="Standard"/>
              <w:ind w:right="176"/>
              <w:rPr>
                <w:b/>
              </w:rPr>
            </w:pPr>
            <w:r w:rsidRPr="00823B96">
              <w:rPr>
                <w:b/>
              </w:rPr>
              <w:t>Enjeux littéraires et de formation personnelle /Héros et personnages</w:t>
            </w:r>
          </w:p>
          <w:p w:rsidR="00C60B5D" w:rsidRPr="00823B96" w:rsidRDefault="00C60B5D">
            <w:pPr>
              <w:pStyle w:val="Standard"/>
              <w:ind w:right="176"/>
              <w:rPr>
                <w:b/>
              </w:rPr>
            </w:pPr>
          </w:p>
          <w:p w:rsidR="00C60B5D" w:rsidRPr="00823B96" w:rsidRDefault="001A1782">
            <w:pPr>
              <w:pStyle w:val="Standard"/>
              <w:ind w:right="176"/>
              <w:jc w:val="both"/>
            </w:pPr>
            <w:r w:rsidRPr="00823B96">
              <w:rPr>
                <w:rFonts w:eastAsia="Garamond" w:cs="Garamond"/>
                <w:color w:val="181717"/>
              </w:rPr>
              <w:t xml:space="preserve">un roman de la littérature jeunesse ou patrimonial mettant en jeu un héros / une héroïne (lecture intégrale) </w:t>
            </w:r>
            <w:r w:rsidRPr="00823B96">
              <w:rPr>
                <w:rFonts w:eastAsia="Garamond" w:cs="Garamond"/>
                <w:b/>
                <w:color w:val="181717"/>
              </w:rPr>
              <w:t>et</w:t>
            </w:r>
            <w:r w:rsidRPr="00823B96">
              <w:rPr>
                <w:rFonts w:eastAsia="Garamond" w:cs="Garamond"/>
                <w:color w:val="181717"/>
              </w:rPr>
              <w:t xml:space="preserve"> un récit, un conte ou une fable mettant en jeu un type de héros / d'héroïne ou un personnage commun devenant héros / héroïne</w:t>
            </w:r>
          </w:p>
          <w:p w:rsidR="00C60B5D" w:rsidRPr="00823B96" w:rsidRDefault="001A1782">
            <w:pPr>
              <w:pStyle w:val="NormalWeb"/>
              <w:spacing w:before="0" w:after="0"/>
              <w:jc w:val="both"/>
            </w:pPr>
            <w:r w:rsidRPr="00823B96">
              <w:rPr>
                <w:rFonts w:ascii="Calibri" w:eastAsia="Garamond" w:hAnsi="Calibri" w:cs="Calibri"/>
                <w:b/>
                <w:color w:val="181717"/>
                <w:sz w:val="22"/>
                <w:szCs w:val="22"/>
                <w:lang w:eastAsia="en-US"/>
              </w:rPr>
              <w:t>ou bien</w:t>
            </w:r>
            <w:r w:rsidRPr="00823B96">
              <w:rPr>
                <w:rFonts w:ascii="Calibri" w:eastAsia="Garamond" w:hAnsi="Calibri" w:cs="Calibri"/>
                <w:color w:val="181717"/>
                <w:sz w:val="22"/>
                <w:szCs w:val="22"/>
                <w:lang w:eastAsia="en-US"/>
              </w:rPr>
              <w:t xml:space="preserve"> un album de bande dessinée reprenant des types de héros / d'héroïnes</w:t>
            </w:r>
          </w:p>
          <w:p w:rsidR="00C60B5D" w:rsidRPr="00823B96" w:rsidRDefault="001A1782">
            <w:pPr>
              <w:pStyle w:val="NormalWeb"/>
              <w:spacing w:before="0" w:after="0"/>
              <w:jc w:val="both"/>
            </w:pPr>
            <w:r w:rsidRPr="00823B96">
              <w:rPr>
                <w:rFonts w:ascii="Calibri" w:eastAsia="Garamond" w:hAnsi="Calibri" w:cs="Calibri"/>
                <w:b/>
                <w:color w:val="181717"/>
                <w:sz w:val="22"/>
                <w:szCs w:val="22"/>
                <w:lang w:eastAsia="en-US"/>
              </w:rPr>
              <w:t>ou bien</w:t>
            </w:r>
            <w:r w:rsidRPr="00823B96">
              <w:rPr>
                <w:rFonts w:ascii="Calibri" w:eastAsia="Garamond" w:hAnsi="Calibri" w:cs="Calibri"/>
                <w:color w:val="181717"/>
                <w:sz w:val="22"/>
                <w:szCs w:val="22"/>
                <w:lang w:eastAsia="en-US"/>
              </w:rPr>
              <w:t xml:space="preserve"> des extraits de films ou un film reprenant des types de héros / d'héroïnes.</w:t>
            </w:r>
          </w:p>
          <w:p w:rsidR="00C60B5D" w:rsidRPr="00823B96" w:rsidRDefault="00C60B5D">
            <w:pPr>
              <w:pStyle w:val="Standard"/>
              <w:ind w:right="176"/>
              <w:rPr>
                <w:rFonts w:cs="Calibri"/>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jc w:val="both"/>
              <w:rPr>
                <w:rFonts w:eastAsia="Garamond" w:cs="Garamond"/>
                <w:color w:val="181717"/>
                <w:lang w:eastAsia="fr-FR"/>
              </w:rPr>
            </w:pPr>
            <w:r w:rsidRPr="00823B96">
              <w:rPr>
                <w:rFonts w:eastAsia="Garamond" w:cs="Garamond"/>
                <w:color w:val="181717"/>
                <w:lang w:eastAsia="fr-FR"/>
              </w:rPr>
              <w:t>Découvrir des œuvres, des textes et des documents mettant en scène des types de héros, des héros bien identifiés ou qui se révèlent comme tels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Comprendre les qualités et valeurs qui caractérisent un héros ;</w:t>
            </w:r>
          </w:p>
          <w:p w:rsidR="00C60B5D" w:rsidRPr="00823B96" w:rsidRDefault="00C60B5D">
            <w:pPr>
              <w:pStyle w:val="Standard"/>
              <w:spacing w:after="52" w:line="216" w:lineRule="auto"/>
              <w:ind w:left="170" w:hanging="170"/>
              <w:rPr>
                <w:rFonts w:eastAsia="Garamond" w:cs="Garamond"/>
                <w:color w:val="181717"/>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left="170" w:hanging="170"/>
              <w:rPr>
                <w:rFonts w:eastAsia="Garamond" w:cs="Garamond"/>
                <w:color w:val="181717"/>
                <w:lang w:eastAsia="fr-FR"/>
              </w:rPr>
            </w:pPr>
            <w:r w:rsidRPr="00823B96">
              <w:rPr>
                <w:rFonts w:eastAsia="Garamond" w:cs="Garamond"/>
                <w:color w:val="181717"/>
                <w:lang w:eastAsia="fr-FR"/>
              </w:rPr>
              <w:t>S’interroger sur les valeurs socio-culturelles et les qualités humaines dont il est porteur, sur l’identification ou la projection possible du lecteur.</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7" w:line="228" w:lineRule="auto"/>
              <w:ind w:left="283" w:right="55" w:hanging="283"/>
              <w:jc w:val="center"/>
              <w:rPr>
                <w:b/>
              </w:rPr>
            </w:pPr>
            <w:r w:rsidRPr="00823B96">
              <w:rPr>
                <w:b/>
              </w:rPr>
              <w:t>CM1 CM2</w:t>
            </w:r>
          </w:p>
          <w:p w:rsidR="00C60B5D" w:rsidRPr="00823B96" w:rsidRDefault="001A1782">
            <w:pPr>
              <w:pStyle w:val="Standard"/>
              <w:spacing w:after="57" w:line="228" w:lineRule="auto"/>
              <w:ind w:left="283" w:right="55" w:hanging="283"/>
              <w:jc w:val="both"/>
              <w:rPr>
                <w:b/>
              </w:rPr>
            </w:pPr>
            <w:r w:rsidRPr="00823B96">
              <w:rPr>
                <w:b/>
              </w:rPr>
              <w:t>Enjeux littéraires et de formation personnelle/ La morale en questions</w:t>
            </w:r>
          </w:p>
          <w:p w:rsidR="00C60B5D" w:rsidRPr="00823B96" w:rsidRDefault="00C60B5D">
            <w:pPr>
              <w:pStyle w:val="Standard"/>
              <w:spacing w:after="57" w:line="228" w:lineRule="auto"/>
              <w:ind w:left="283" w:right="55" w:hanging="283"/>
              <w:jc w:val="both"/>
              <w:rPr>
                <w:b/>
              </w:rPr>
            </w:pPr>
          </w:p>
          <w:p w:rsidR="00C60B5D" w:rsidRPr="00823B96" w:rsidRDefault="001A1782">
            <w:pPr>
              <w:pStyle w:val="NormalWeb"/>
              <w:spacing w:before="0" w:after="0"/>
              <w:jc w:val="both"/>
              <w:rPr>
                <w:rFonts w:ascii="Calibri" w:eastAsia="Garamond" w:hAnsi="Calibri" w:cs="Calibri"/>
                <w:color w:val="181717"/>
                <w:sz w:val="22"/>
                <w:szCs w:val="22"/>
              </w:rPr>
            </w:pPr>
            <w:r w:rsidRPr="00823B96">
              <w:rPr>
                <w:rFonts w:ascii="Calibri" w:eastAsia="Garamond" w:hAnsi="Calibri" w:cs="Calibri"/>
                <w:color w:val="181717"/>
                <w:sz w:val="22"/>
                <w:szCs w:val="22"/>
              </w:rPr>
              <w:t>1 roman de la littérature jeunesse ou patrimonial (lecture intégrale)  et des albums, des contes de sagesse, des récits de vie en rapport avec le programme d'enseignement moral et civique et/ou le thème 2 du programme d'histoire de CM2</w:t>
            </w:r>
          </w:p>
          <w:p w:rsidR="00C60B5D" w:rsidRPr="00823B96" w:rsidRDefault="001A1782">
            <w:pPr>
              <w:pStyle w:val="NormalWeb"/>
              <w:spacing w:before="0" w:after="0"/>
              <w:jc w:val="both"/>
            </w:pPr>
            <w:r w:rsidRPr="00823B96">
              <w:rPr>
                <w:rFonts w:ascii="Calibri" w:eastAsia="Garamond" w:hAnsi="Calibri" w:cs="Calibri"/>
                <w:color w:val="181717"/>
                <w:sz w:val="22"/>
                <w:szCs w:val="22"/>
              </w:rPr>
              <w:t>ou bien des fables posant des questions de morale, des poèmes ou des chansons exprimant un engagement ou bien une pièce de théâtre de la littérature de jeunesse</w:t>
            </w:r>
            <w:r w:rsidRPr="00823B96">
              <w:t>.</w:t>
            </w:r>
          </w:p>
          <w:p w:rsidR="00C60B5D" w:rsidRPr="00823B96" w:rsidRDefault="00C60B5D">
            <w:pPr>
              <w:pStyle w:val="Standard"/>
              <w:spacing w:after="57" w:line="228" w:lineRule="auto"/>
              <w:ind w:right="55"/>
              <w:jc w:val="both"/>
              <w:rPr>
                <w:rFonts w:eastAsia="Garamond" w:cs="Garamond"/>
                <w:color w:val="181717"/>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left="29" w:hanging="29"/>
            </w:pPr>
            <w:r w:rsidRPr="00823B96">
              <w:t>Découvrir des récits, des récits de vie, des fables, des albums, des pièces de théâtre qui interrogent certains fondements de la société comme la justice, le respect des différences, les droits et les devoirs, la préservation de l’environnement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pPr>
            <w:r w:rsidRPr="00823B96">
              <w:t>Comprendre les valeurs morales portées par les personnages et le sens de leurs actions ; S’interroger, définir les valeurs en question, voire les tensions entre ces valeurs pour vivre en société.</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pPr>
            <w:r w:rsidRPr="00823B96">
              <w:t>s'interroger, définir les valeurs en question, voire les tensions entre ces valeurs pour vivre en société.</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jc w:val="center"/>
              <w:rPr>
                <w:b/>
              </w:rPr>
            </w:pPr>
            <w:r w:rsidRPr="00823B96">
              <w:rPr>
                <w:b/>
              </w:rPr>
              <w:t>CM1 CM2</w:t>
            </w:r>
          </w:p>
          <w:p w:rsidR="00C60B5D" w:rsidRPr="00823B96" w:rsidRDefault="001A1782">
            <w:pPr>
              <w:pStyle w:val="Standard"/>
              <w:ind w:right="176"/>
              <w:jc w:val="center"/>
              <w:rPr>
                <w:b/>
              </w:rPr>
            </w:pPr>
            <w:r w:rsidRPr="00823B96">
              <w:rPr>
                <w:b/>
              </w:rPr>
              <w:t>Enjeux littéraires et de formation personnelle</w:t>
            </w:r>
          </w:p>
          <w:p w:rsidR="00C60B5D" w:rsidRPr="00823B96" w:rsidRDefault="001A1782">
            <w:pPr>
              <w:pStyle w:val="Standard"/>
              <w:ind w:right="176"/>
              <w:jc w:val="center"/>
              <w:rPr>
                <w:b/>
              </w:rPr>
            </w:pPr>
            <w:r w:rsidRPr="00823B96">
              <w:rPr>
                <w:b/>
              </w:rPr>
              <w:t>Se confronter au merveilleux, à l’étrange</w:t>
            </w:r>
          </w:p>
          <w:p w:rsidR="00C60B5D" w:rsidRPr="00823B96" w:rsidRDefault="00C60B5D">
            <w:pPr>
              <w:pStyle w:val="Standard"/>
              <w:ind w:right="176"/>
              <w:jc w:val="both"/>
              <w:rPr>
                <w:b/>
              </w:rPr>
            </w:pPr>
          </w:p>
          <w:p w:rsidR="00C60B5D" w:rsidRPr="00823B96" w:rsidRDefault="001A1782">
            <w:pPr>
              <w:pStyle w:val="NormalWeb"/>
              <w:spacing w:before="0" w:after="0"/>
              <w:jc w:val="both"/>
              <w:rPr>
                <w:rFonts w:ascii="Calibri" w:eastAsia="Garamond" w:hAnsi="Calibri" w:cs="Calibri"/>
                <w:color w:val="181717"/>
                <w:sz w:val="22"/>
                <w:szCs w:val="22"/>
              </w:rPr>
            </w:pPr>
            <w:r w:rsidRPr="00823B96">
              <w:rPr>
                <w:rFonts w:ascii="Calibri" w:eastAsia="Garamond" w:hAnsi="Calibri" w:cs="Calibri"/>
                <w:color w:val="181717"/>
                <w:sz w:val="22"/>
                <w:szCs w:val="22"/>
              </w:rPr>
              <w:t>En lien avec des représentations proposées par la peinture, la sculpture, les illustrations, la bande dessinée ou le cinéma, un recueil de contes merveilleux ou de contes et légendes mythologiques (lecture intégrale) et des contes et légendes de France et d'autres pays et cultures</w:t>
            </w:r>
          </w:p>
          <w:p w:rsidR="00C60B5D" w:rsidRPr="00823B96" w:rsidRDefault="001A1782">
            <w:pPr>
              <w:pStyle w:val="NormalWeb"/>
              <w:spacing w:before="0" w:after="0"/>
              <w:jc w:val="both"/>
              <w:rPr>
                <w:rFonts w:ascii="Calibri" w:eastAsia="Garamond" w:hAnsi="Calibri" w:cs="Calibri"/>
                <w:color w:val="181717"/>
                <w:sz w:val="22"/>
                <w:szCs w:val="22"/>
              </w:rPr>
            </w:pPr>
            <w:r w:rsidRPr="00823B96">
              <w:rPr>
                <w:rFonts w:ascii="Calibri" w:eastAsia="Garamond" w:hAnsi="Calibri" w:cs="Calibri"/>
                <w:color w:val="181717"/>
                <w:sz w:val="22"/>
                <w:szCs w:val="22"/>
              </w:rPr>
              <w:t>ou bien un ou des albums adaptant des récits mythologiques</w:t>
            </w:r>
          </w:p>
          <w:p w:rsidR="00C60B5D" w:rsidRPr="00823B96" w:rsidRDefault="001A1782">
            <w:pPr>
              <w:pStyle w:val="NormalWeb"/>
              <w:spacing w:before="0" w:after="0"/>
              <w:jc w:val="both"/>
              <w:rPr>
                <w:rFonts w:ascii="Calibri" w:eastAsia="Garamond" w:hAnsi="Calibri" w:cs="Calibri"/>
                <w:color w:val="181717"/>
                <w:sz w:val="22"/>
                <w:szCs w:val="22"/>
              </w:rPr>
            </w:pPr>
            <w:r w:rsidRPr="00823B96">
              <w:rPr>
                <w:rFonts w:ascii="Calibri" w:eastAsia="Garamond" w:hAnsi="Calibri" w:cs="Calibri"/>
                <w:color w:val="181717"/>
                <w:sz w:val="22"/>
                <w:szCs w:val="22"/>
              </w:rPr>
              <w:t> ou bien  une pièce de théâtre de la littérature de jeunesse.</w:t>
            </w:r>
          </w:p>
          <w:p w:rsidR="00C60B5D" w:rsidRPr="00823B96" w:rsidRDefault="00C60B5D">
            <w:pPr>
              <w:pStyle w:val="Standard"/>
              <w:ind w:right="176"/>
              <w:rPr>
                <w:rFonts w:eastAsia="Times New Roman"/>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right="259"/>
              <w:rPr>
                <w:rFonts w:eastAsia="Garamond" w:cs="Garamond"/>
                <w:color w:val="181717"/>
                <w:lang w:eastAsia="fr-FR"/>
              </w:rPr>
            </w:pPr>
            <w:r w:rsidRPr="00823B96">
              <w:rPr>
                <w:rFonts w:eastAsia="Garamond" w:cs="Garamond"/>
                <w:color w:val="181717"/>
                <w:lang w:eastAsia="fr-FR"/>
              </w:rPr>
              <w:t>Découvrir des contes, des albums adaptant des récits mythologiques, des pièces de théâtre mettant en scène des personnages sortant de l’ordinaire ou des figures surnaturelles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rPr>
                <w:rFonts w:eastAsia="Garamond" w:cs="Garamond"/>
                <w:color w:val="181717"/>
                <w:lang w:eastAsia="fr-FR"/>
              </w:rPr>
            </w:pPr>
            <w:r w:rsidRPr="00823B96">
              <w:rPr>
                <w:rFonts w:eastAsia="Garamond" w:cs="Garamond"/>
                <w:color w:val="181717"/>
                <w:lang w:eastAsia="fr-FR"/>
              </w:rPr>
              <w:t>Comprendre ce qu’ils symbolisent ;</w:t>
            </w:r>
          </w:p>
          <w:p w:rsidR="00C60B5D" w:rsidRPr="00823B96" w:rsidRDefault="001A1782">
            <w:pPr>
              <w:pStyle w:val="Standard"/>
              <w:spacing w:after="52" w:line="216" w:lineRule="auto"/>
              <w:ind w:left="170" w:right="55" w:hanging="170"/>
              <w:rPr>
                <w:rFonts w:eastAsia="Garamond" w:cs="Garamond"/>
                <w:color w:val="181717"/>
                <w:lang w:eastAsia="fr-FR"/>
              </w:rPr>
            </w:pPr>
            <w:r w:rsidRPr="00823B96">
              <w:rPr>
                <w:rFonts w:eastAsia="Garamond" w:cs="Garamond"/>
                <w:color w:val="181717"/>
                <w:lang w:eastAsia="fr-FR"/>
              </w:rPr>
              <w:t>S’interroger sur le plaisir, la peur, l’attirance ou le rejet suscité par ces personnages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pPr>
            <w:r w:rsidRPr="00823B96">
              <w:t>s'interroger sur le plaisir, la peur, l'attirance ou le rejet suscités par ces personnages.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jc w:val="center"/>
              <w:rPr>
                <w:b/>
              </w:rPr>
            </w:pPr>
            <w:r w:rsidRPr="00823B96">
              <w:rPr>
                <w:b/>
              </w:rPr>
              <w:t>CM1 CM2</w:t>
            </w:r>
          </w:p>
          <w:p w:rsidR="00C60B5D" w:rsidRPr="00823B96" w:rsidRDefault="001A1782">
            <w:pPr>
              <w:pStyle w:val="Standard"/>
              <w:ind w:right="176"/>
              <w:rPr>
                <w:b/>
              </w:rPr>
            </w:pPr>
            <w:r w:rsidRPr="00823B96">
              <w:rPr>
                <w:b/>
              </w:rPr>
              <w:t>Enjeux littéraires et de formation personnelle/Vivre des aventures</w:t>
            </w:r>
          </w:p>
          <w:p w:rsidR="00C60B5D" w:rsidRPr="00823B96" w:rsidRDefault="00C60B5D">
            <w:pPr>
              <w:pStyle w:val="Standard"/>
              <w:ind w:right="176"/>
              <w:rPr>
                <w:b/>
              </w:rPr>
            </w:pPr>
          </w:p>
          <w:p w:rsidR="00C60B5D" w:rsidRPr="00823B96" w:rsidRDefault="001A1782">
            <w:pPr>
              <w:pStyle w:val="NormalWeb"/>
              <w:spacing w:before="0" w:after="0"/>
              <w:jc w:val="both"/>
            </w:pPr>
            <w:r w:rsidRPr="00823B96">
              <w:rPr>
                <w:rFonts w:ascii="Calibri" w:hAnsi="Calibri" w:cs="Calibri"/>
              </w:rPr>
              <w:t xml:space="preserve">1 roman d'aventures de la littérature de jeunesse (lecture intégrale) dont le personnage principal est un enfant ou un animal </w:t>
            </w:r>
            <w:r w:rsidRPr="00823B96">
              <w:rPr>
                <w:rFonts w:ascii="Calibri" w:hAnsi="Calibri" w:cs="Calibri"/>
                <w:b/>
                <w:bCs/>
              </w:rPr>
              <w:t>et</w:t>
            </w:r>
            <w:r w:rsidRPr="00823B96">
              <w:rPr>
                <w:rFonts w:ascii="Calibri" w:hAnsi="Calibri" w:cs="Calibri"/>
              </w:rPr>
              <w:t xml:space="preserve"> des extraits de différents classiques du roman d'aventures, d'époques variées </w:t>
            </w:r>
            <w:r w:rsidRPr="00823B96">
              <w:rPr>
                <w:rFonts w:ascii="Calibri" w:hAnsi="Calibri" w:cs="Calibri"/>
                <w:b/>
                <w:bCs/>
              </w:rPr>
              <w:t>ou bien</w:t>
            </w:r>
            <w:r w:rsidRPr="00823B96">
              <w:rPr>
                <w:rFonts w:ascii="Calibri" w:hAnsi="Calibri" w:cs="Calibri"/>
              </w:rPr>
              <w:t xml:space="preserve">  un album de bande dessinée.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right="21"/>
              <w:rPr>
                <w:rFonts w:eastAsia="Garamond" w:cs="Garamond"/>
                <w:color w:val="181717"/>
                <w:lang w:eastAsia="fr-FR"/>
              </w:rPr>
            </w:pPr>
            <w:r w:rsidRPr="00823B96">
              <w:rPr>
                <w:rFonts w:eastAsia="Garamond" w:cs="Garamond"/>
                <w:color w:val="181717"/>
                <w:lang w:eastAsia="fr-FR"/>
              </w:rPr>
              <w:t>Découvrir des romans d’aventure dont le personnage principal est proche des élèves (enfant ou animal par exemple) afin de favoriser l’entrée dans la lecture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Comprendre la dynamique du récit, les personnages et leurs relations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S’interroger sur les modalités du suspens et imaginer des possibles narratifs.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ind w:right="176"/>
              <w:jc w:val="center"/>
              <w:rPr>
                <w:b/>
              </w:rPr>
            </w:pPr>
            <w:r w:rsidRPr="00823B96">
              <w:rPr>
                <w:b/>
              </w:rPr>
              <w:t>CM1 CM2</w:t>
            </w:r>
          </w:p>
          <w:p w:rsidR="00C60B5D" w:rsidRPr="00823B96" w:rsidRDefault="001A1782">
            <w:pPr>
              <w:pStyle w:val="Standard"/>
              <w:ind w:right="176"/>
              <w:jc w:val="center"/>
              <w:rPr>
                <w:b/>
              </w:rPr>
            </w:pPr>
            <w:r w:rsidRPr="00823B96">
              <w:rPr>
                <w:b/>
              </w:rPr>
              <w:t>Enjeux littéraires et de formation personnelle</w:t>
            </w:r>
          </w:p>
          <w:p w:rsidR="00C60B5D" w:rsidRPr="00823B96" w:rsidRDefault="001A1782">
            <w:pPr>
              <w:pStyle w:val="Standard"/>
              <w:spacing w:after="30" w:line="235" w:lineRule="auto"/>
              <w:ind w:left="29"/>
              <w:jc w:val="center"/>
              <w:rPr>
                <w:b/>
              </w:rPr>
            </w:pPr>
            <w:r w:rsidRPr="00823B96">
              <w:rPr>
                <w:b/>
              </w:rPr>
              <w:t>Imaginer, dire et célébrer le monde</w:t>
            </w:r>
          </w:p>
          <w:p w:rsidR="00C60B5D" w:rsidRPr="00823B96" w:rsidRDefault="00C60B5D">
            <w:pPr>
              <w:pStyle w:val="Standard"/>
              <w:spacing w:after="30" w:line="235" w:lineRule="auto"/>
              <w:ind w:left="29"/>
              <w:jc w:val="both"/>
              <w:rPr>
                <w:b/>
              </w:rPr>
            </w:pPr>
          </w:p>
          <w:p w:rsidR="00C60B5D" w:rsidRPr="00823B96" w:rsidRDefault="001A1782">
            <w:pPr>
              <w:pStyle w:val="NormalWeb"/>
              <w:spacing w:before="0" w:after="0"/>
              <w:jc w:val="both"/>
            </w:pPr>
            <w:r w:rsidRPr="00823B96">
              <w:rPr>
                <w:rFonts w:eastAsia="Calibri"/>
                <w:b/>
              </w:rPr>
              <w:t>1</w:t>
            </w:r>
            <w:r w:rsidRPr="00823B96">
              <w:rPr>
                <w:rFonts w:ascii="Calibri" w:hAnsi="Calibri" w:cs="Calibri"/>
              </w:rPr>
              <w:t xml:space="preserve"> recueil de poèmes </w:t>
            </w:r>
            <w:r w:rsidRPr="00823B96">
              <w:rPr>
                <w:rFonts w:ascii="Calibri" w:hAnsi="Calibri" w:cs="Calibri"/>
                <w:b/>
                <w:bCs/>
              </w:rPr>
              <w:t>et</w:t>
            </w:r>
            <w:r w:rsidRPr="00823B96">
              <w:rPr>
                <w:rFonts w:ascii="Calibri" w:hAnsi="Calibri" w:cs="Calibri"/>
              </w:rPr>
              <w:t xml:space="preserve"> des poèmes de siècles différents, célébrant le monde et/ou témoignant du pouvoir créateur de la parole poétique </w:t>
            </w:r>
            <w:r w:rsidRPr="00823B96">
              <w:rPr>
                <w:rFonts w:ascii="Calibri" w:hAnsi="Calibri" w:cs="Calibri"/>
                <w:b/>
                <w:bCs/>
              </w:rPr>
              <w:t>ou bien</w:t>
            </w:r>
            <w:r w:rsidRPr="00823B96">
              <w:rPr>
                <w:rFonts w:ascii="Calibri" w:hAnsi="Calibri" w:cs="Calibri"/>
              </w:rPr>
              <w:t xml:space="preserve"> des contes étiologiques de différentes cultures.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C60B5D">
            <w:pPr>
              <w:pStyle w:val="TableContents"/>
            </w:pPr>
          </w:p>
          <w:p w:rsidR="00C60B5D" w:rsidRPr="00823B96" w:rsidRDefault="001A1782">
            <w:pPr>
              <w:pStyle w:val="TableContents"/>
            </w:pPr>
            <w:r w:rsidRPr="00823B96">
              <w:t>E</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Découvrir des poèmes, des contes étiologiques, des paroles de célébration appartenant à différentes cultures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Comprendre l’aptitude du langage à dire le monde, à exprimer la relation de l’homme à la nature, à rêver sur l’origine du monde ; S’interroger sur la nature du langage poétique (sans acception stricte de genre).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pPr>
            <w:r w:rsidRPr="00823B96">
              <w:t>s'interroger sur la nature du langage poétique (sans acception stricte de genre).</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jc w:val="center"/>
              <w:rPr>
                <w:b/>
              </w:rPr>
            </w:pPr>
            <w:r w:rsidRPr="00823B96">
              <w:rPr>
                <w:b/>
              </w:rPr>
              <w:t>CM1 CM2</w:t>
            </w:r>
          </w:p>
          <w:p w:rsidR="00C60B5D" w:rsidRPr="00823B96" w:rsidRDefault="001A1782">
            <w:pPr>
              <w:pStyle w:val="Standard"/>
              <w:spacing w:after="30" w:line="235" w:lineRule="auto"/>
              <w:ind w:left="29"/>
              <w:jc w:val="center"/>
              <w:rPr>
                <w:b/>
              </w:rPr>
            </w:pPr>
            <w:r w:rsidRPr="00823B96">
              <w:rPr>
                <w:b/>
              </w:rPr>
              <w:t>Se découvrir, s’affirmer dans le rapport aux autres</w:t>
            </w:r>
          </w:p>
          <w:p w:rsidR="00C60B5D" w:rsidRPr="00823B96" w:rsidRDefault="00C60B5D">
            <w:pPr>
              <w:pStyle w:val="Standard"/>
              <w:spacing w:after="30" w:line="235" w:lineRule="auto"/>
              <w:ind w:left="29"/>
              <w:rPr>
                <w:b/>
              </w:rPr>
            </w:pPr>
          </w:p>
          <w:p w:rsidR="00C60B5D" w:rsidRPr="00823B96" w:rsidRDefault="001A1782">
            <w:pPr>
              <w:pStyle w:val="NormalWeb"/>
              <w:spacing w:before="0" w:after="0"/>
              <w:jc w:val="both"/>
            </w:pPr>
            <w:r w:rsidRPr="00823B96">
              <w:t>1 roman d'apprentissage de la littérature jeunesse ou patrimonial</w:t>
            </w:r>
          </w:p>
          <w:p w:rsidR="00C60B5D" w:rsidRPr="00823B96" w:rsidRDefault="001A1782">
            <w:pPr>
              <w:pStyle w:val="NormalWeb"/>
              <w:spacing w:before="0" w:after="0"/>
              <w:jc w:val="both"/>
            </w:pPr>
            <w:r w:rsidRPr="00823B96">
              <w:t> </w:t>
            </w:r>
            <w:r w:rsidRPr="00823B96">
              <w:rPr>
                <w:b/>
                <w:bCs/>
              </w:rPr>
              <w:t>et</w:t>
            </w:r>
            <w:r w:rsidRPr="00823B96">
              <w:t xml:space="preserve"> des extraits de différents classiques du roman d'apprentissage, d'époques variées ou de récits autobiographiques </w:t>
            </w:r>
            <w:r w:rsidRPr="00823B96">
              <w:rPr>
                <w:b/>
                <w:bCs/>
              </w:rPr>
              <w:t>ou bien</w:t>
            </w:r>
            <w:r w:rsidRPr="00823B96">
              <w:t xml:space="preserve"> des extraits de films ou un film autant que possible adapté de l'une des œuvres étudiées </w:t>
            </w:r>
            <w:r w:rsidRPr="00823B96">
              <w:rPr>
                <w:b/>
                <w:bCs/>
              </w:rPr>
              <w:t>ou bien</w:t>
            </w:r>
            <w:r w:rsidRPr="00823B96">
              <w:t xml:space="preserve"> des poèmes exprimant des sentiments personnels.</w:t>
            </w:r>
          </w:p>
          <w:p w:rsidR="00C60B5D" w:rsidRPr="00823B96" w:rsidRDefault="00C60B5D">
            <w:pPr>
              <w:pStyle w:val="Standard"/>
              <w:spacing w:after="30" w:line="235" w:lineRule="auto"/>
              <w:ind w:left="29"/>
              <w:rPr>
                <w:rFonts w:eastAsia="Times New Roman"/>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Découvrir des récits d’apprentissage mettant en scène l’enfant dans la vie familiale, les relations entre enfants, l’école ou d’autres groupes sociaux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A</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7" w:line="251" w:lineRule="auto"/>
              <w:rPr>
                <w:rFonts w:eastAsia="Garamond" w:cs="Garamond"/>
                <w:color w:val="181717"/>
                <w:lang w:eastAsia="fr-FR"/>
              </w:rPr>
            </w:pPr>
            <w:r w:rsidRPr="00823B96">
              <w:rPr>
                <w:rFonts w:eastAsia="Garamond" w:cs="Garamond"/>
                <w:color w:val="181717"/>
                <w:lang w:eastAsia="fr-FR"/>
              </w:rPr>
              <w:t>Comprendre la part de vérité de la fiction ;</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S’interroger sur la nature et les difficultés des apprentissages humains.</w:t>
            </w: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TableContents"/>
            </w:pPr>
            <w:r w:rsidRPr="00823B96">
              <w:t>E</w:t>
            </w: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R</w:t>
            </w:r>
          </w:p>
        </w:tc>
      </w:tr>
      <w:tr w:rsidR="00C60B5D" w:rsidRPr="00823B96">
        <w:tc>
          <w:tcPr>
            <w:tcW w:w="955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Standard"/>
              <w:spacing w:after="30" w:line="235" w:lineRule="auto"/>
              <w:rPr>
                <w:rFonts w:eastAsia="Garamond" w:cs="Garamond"/>
                <w:color w:val="181717"/>
                <w:lang w:eastAsia="fr-FR"/>
              </w:rPr>
            </w:pPr>
          </w:p>
        </w:tc>
        <w:tc>
          <w:tcPr>
            <w:tcW w:w="610" w:type="dxa"/>
            <w:tcBorders>
              <w:left w:val="single" w:sz="2" w:space="0" w:color="000000"/>
              <w:bottom w:val="single" w:sz="2" w:space="0" w:color="000000"/>
            </w:tcBorders>
            <w:tcMar>
              <w:top w:w="55" w:type="dxa"/>
              <w:left w:w="55" w:type="dxa"/>
              <w:bottom w:w="55" w:type="dxa"/>
              <w:right w:w="55" w:type="dxa"/>
            </w:tcMar>
          </w:tcPr>
          <w:p w:rsidR="00C60B5D" w:rsidRPr="00823B96" w:rsidRDefault="00C60B5D">
            <w:pPr>
              <w:pStyle w:val="TableContents"/>
            </w:pPr>
          </w:p>
        </w:tc>
        <w:tc>
          <w:tcPr>
            <w:tcW w:w="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bl>
    <w:p w:rsidR="00C60B5D" w:rsidRPr="00823B96" w:rsidRDefault="00C60B5D">
      <w:pPr>
        <w:pStyle w:val="Standard"/>
      </w:pPr>
    </w:p>
    <w:p w:rsidR="00C60B5D" w:rsidRPr="00823B96" w:rsidRDefault="00C60B5D">
      <w:pPr>
        <w:pStyle w:val="Standard"/>
      </w:pPr>
    </w:p>
    <w:p w:rsidR="00C60B5D" w:rsidRPr="00823B96" w:rsidRDefault="00C60B5D">
      <w:pPr>
        <w:pStyle w:val="Standard"/>
        <w:pageBreakBefore/>
      </w:pPr>
    </w:p>
    <w:tbl>
      <w:tblPr>
        <w:tblW w:w="10772" w:type="dxa"/>
        <w:tblLayout w:type="fixed"/>
        <w:tblCellMar>
          <w:left w:w="10" w:type="dxa"/>
          <w:right w:w="10" w:type="dxa"/>
        </w:tblCellMar>
        <w:tblLook w:val="0000"/>
      </w:tblPr>
      <w:tblGrid>
        <w:gridCol w:w="10290"/>
        <w:gridCol w:w="482"/>
      </w:tblGrid>
      <w:tr w:rsidR="00C60B5D" w:rsidRPr="00823B96">
        <w:tc>
          <w:tcPr>
            <w:tcW w:w="10290" w:type="dxa"/>
            <w:tcBorders>
              <w:top w:val="single" w:sz="2" w:space="0" w:color="000000"/>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b/>
                <w:color w:val="181717"/>
                <w:lang w:eastAsia="fr-FR"/>
              </w:rPr>
            </w:pPr>
            <w:r w:rsidRPr="00823B96">
              <w:rPr>
                <w:rFonts w:eastAsia="Garamond" w:cs="Garamond"/>
                <w:b/>
                <w:color w:val="181717"/>
                <w:lang w:eastAsia="fr-FR"/>
              </w:rPr>
              <w:t>Connaissances et compétences associées</w:t>
            </w:r>
          </w:p>
        </w:tc>
        <w:tc>
          <w:tcPr>
            <w:tcW w:w="4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1A1782">
            <w:pPr>
              <w:pStyle w:val="TableContents"/>
            </w:pPr>
            <w:r w:rsidRPr="00823B96">
              <w:t>6e</w:t>
            </w: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jc w:val="center"/>
              <w:rPr>
                <w:b/>
              </w:rPr>
            </w:pPr>
            <w:r w:rsidRPr="00823B96">
              <w:rPr>
                <w:b/>
              </w:rPr>
              <w:t>6ième</w:t>
            </w:r>
          </w:p>
          <w:p w:rsidR="00C60B5D" w:rsidRPr="00823B96" w:rsidRDefault="001A1782">
            <w:pPr>
              <w:pStyle w:val="Standard"/>
              <w:spacing w:after="30" w:line="235" w:lineRule="auto"/>
              <w:ind w:left="29"/>
              <w:jc w:val="center"/>
              <w:rPr>
                <w:b/>
              </w:rPr>
            </w:pPr>
            <w:r w:rsidRPr="00823B96">
              <w:rPr>
                <w:b/>
              </w:rPr>
              <w:t>Enjeux littéraires et de formation personnelle</w:t>
            </w:r>
          </w:p>
          <w:p w:rsidR="00C60B5D" w:rsidRPr="00823B96" w:rsidRDefault="001A1782">
            <w:pPr>
              <w:pStyle w:val="Standard"/>
              <w:spacing w:after="30" w:line="235" w:lineRule="auto"/>
              <w:ind w:left="29"/>
              <w:jc w:val="center"/>
              <w:rPr>
                <w:b/>
              </w:rPr>
            </w:pPr>
            <w:r w:rsidRPr="00823B96">
              <w:rPr>
                <w:b/>
              </w:rPr>
              <w:t>Le Monstre, aux limites de l’humain</w:t>
            </w:r>
          </w:p>
          <w:p w:rsidR="00C60B5D" w:rsidRPr="00823B96" w:rsidRDefault="00C60B5D">
            <w:pPr>
              <w:pStyle w:val="Standard"/>
              <w:spacing w:after="30" w:line="235" w:lineRule="auto"/>
              <w:ind w:left="29"/>
              <w:jc w:val="center"/>
              <w:rPr>
                <w:b/>
              </w:rPr>
            </w:pPr>
          </w:p>
          <w:p w:rsidR="00C60B5D" w:rsidRPr="00823B96" w:rsidRDefault="001A1782">
            <w:pPr>
              <w:pStyle w:val="NormalWeb"/>
              <w:spacing w:before="0" w:after="0"/>
              <w:jc w:val="both"/>
            </w:pPr>
            <w:r w:rsidRPr="00823B96">
              <w:rPr>
                <w:rFonts w:ascii="Calibri" w:hAnsi="Calibri" w:cs="Calibri"/>
              </w:rPr>
              <w:t>En lien avec des documents permettant de découvrir certains aspects de la figure du monstre dans la peinture, la sculpture, l'opéra, la bande dessinée ou le cinéma, des extraits choisis de l'</w:t>
            </w:r>
            <w:r w:rsidRPr="00823B96">
              <w:rPr>
                <w:rStyle w:val="Accentuation"/>
                <w:rFonts w:ascii="Calibri" w:hAnsi="Calibri" w:cs="Calibri"/>
              </w:rPr>
              <w:t>Odyssée</w:t>
            </w:r>
            <w:r w:rsidRPr="00823B96">
              <w:rPr>
                <w:rFonts w:ascii="Calibri" w:hAnsi="Calibri" w:cs="Calibri"/>
              </w:rPr>
              <w:t xml:space="preserve"> et/ou des </w:t>
            </w:r>
            <w:r w:rsidRPr="00823B96">
              <w:rPr>
                <w:rStyle w:val="Accentuation"/>
                <w:rFonts w:ascii="Calibri" w:hAnsi="Calibri" w:cs="Calibri"/>
              </w:rPr>
              <w:t>Métamorphoses</w:t>
            </w:r>
            <w:r w:rsidRPr="00823B96">
              <w:rPr>
                <w:rFonts w:ascii="Calibri" w:hAnsi="Calibri" w:cs="Calibri"/>
              </w:rPr>
              <w:t xml:space="preserve">, dans une traduction au choix du professeur ; </w:t>
            </w:r>
            <w:r w:rsidRPr="00823B96">
              <w:rPr>
                <w:rFonts w:ascii="Calibri" w:hAnsi="Calibri" w:cs="Calibri"/>
                <w:b/>
                <w:bCs/>
              </w:rPr>
              <w:t>et</w:t>
            </w:r>
            <w:r w:rsidRPr="00823B96">
              <w:rPr>
                <w:rFonts w:ascii="Calibri" w:hAnsi="Calibri" w:cs="Calibri"/>
              </w:rPr>
              <w:t xml:space="preserve"> des contes merveilleux et des récits adaptés de la mythologie et des légendes antiques, ou des contes et légendes de France et d'autres pays et cultures ; </w:t>
            </w:r>
            <w:r w:rsidRPr="00823B96">
              <w:rPr>
                <w:rFonts w:ascii="Calibri" w:hAnsi="Calibri" w:cs="Calibri"/>
                <w:b/>
                <w:bCs/>
              </w:rPr>
              <w:t>ou bien</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Découvrir des œuvres, des textes et des documents mettant en scène des figures de monstres ;</w:t>
            </w:r>
          </w:p>
          <w:p w:rsidR="00C60B5D" w:rsidRPr="00823B96" w:rsidRDefault="00C60B5D">
            <w:pPr>
              <w:pStyle w:val="Standard"/>
              <w:spacing w:after="30" w:line="235" w:lineRule="auto"/>
              <w:ind w:left="29"/>
              <w:rPr>
                <w:rFonts w:eastAsia="Times New Roman"/>
                <w:lang w:eastAsia="fr-FR"/>
              </w:rPr>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ind w:right="214"/>
              <w:rPr>
                <w:rFonts w:eastAsia="Garamond" w:cs="Garamond"/>
                <w:color w:val="181717"/>
                <w:lang w:eastAsia="fr-FR"/>
              </w:rPr>
            </w:pPr>
            <w:r w:rsidRPr="00823B96">
              <w:rPr>
                <w:rFonts w:eastAsia="Garamond" w:cs="Garamond"/>
                <w:color w:val="181717"/>
                <w:lang w:eastAsia="fr-FR"/>
              </w:rPr>
              <w:t>Comprendre le sens des émotions fortes que suscitent la description ou la représentation des monstres et le récit ou la mise en scène de l’affrontement avec eux ;</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S’interroger sur les limites de l’humain que le monstre permet de figurer et d’explorer.</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jc w:val="center"/>
              <w:rPr>
                <w:b/>
              </w:rPr>
            </w:pPr>
            <w:r w:rsidRPr="00823B96">
              <w:rPr>
                <w:b/>
              </w:rPr>
              <w:t>6ième</w:t>
            </w:r>
          </w:p>
          <w:p w:rsidR="00C60B5D" w:rsidRPr="00823B96" w:rsidRDefault="001A1782">
            <w:pPr>
              <w:pStyle w:val="Standard"/>
              <w:spacing w:after="30" w:line="235" w:lineRule="auto"/>
              <w:ind w:left="29"/>
              <w:rPr>
                <w:b/>
              </w:rPr>
            </w:pPr>
            <w:r w:rsidRPr="00823B96">
              <w:rPr>
                <w:b/>
              </w:rPr>
              <w:t xml:space="preserve">Enjeux littéraires et de formation personnelle/Récit d’aventure  </w:t>
            </w:r>
          </w:p>
          <w:p w:rsidR="00C60B5D" w:rsidRPr="00823B96" w:rsidRDefault="00C60B5D">
            <w:pPr>
              <w:pStyle w:val="Standard"/>
              <w:spacing w:after="30" w:line="235" w:lineRule="auto"/>
              <w:ind w:left="29"/>
              <w:rPr>
                <w:b/>
              </w:rPr>
            </w:pPr>
          </w:p>
          <w:p w:rsidR="00C60B5D" w:rsidRPr="00823B96" w:rsidRDefault="001A1782">
            <w:pPr>
              <w:pStyle w:val="Standard"/>
              <w:spacing w:after="30" w:line="235" w:lineRule="auto"/>
              <w:ind w:left="29"/>
              <w:jc w:val="center"/>
            </w:pPr>
            <w:r w:rsidRPr="00823B96">
              <w:rPr>
                <w:rFonts w:ascii="Calibri" w:hAnsi="Calibri" w:cs="Calibri"/>
                <w:b/>
              </w:rPr>
              <w:t xml:space="preserve">un classique du roman d'aventures (lecture intégrale) </w:t>
            </w:r>
            <w:r w:rsidRPr="00823B96">
              <w:rPr>
                <w:rFonts w:ascii="Calibri" w:hAnsi="Calibri" w:cs="Calibri"/>
                <w:b/>
                <w:bCs/>
              </w:rPr>
              <w:t>et</w:t>
            </w:r>
            <w:r w:rsidRPr="00823B96">
              <w:rPr>
                <w:rFonts w:ascii="Calibri" w:hAnsi="Calibri" w:cs="Calibri"/>
                <w:b/>
              </w:rPr>
              <w:t xml:space="preserve"> des extraits de différents classiques du roman d'aventures, d'époques variées et relevant de différentes catégories </w:t>
            </w:r>
            <w:r w:rsidRPr="00823B96">
              <w:rPr>
                <w:rFonts w:ascii="Calibri" w:hAnsi="Calibri" w:cs="Calibri"/>
                <w:b/>
                <w:bCs/>
              </w:rPr>
              <w:t>ou bien</w:t>
            </w:r>
            <w:r w:rsidRPr="00823B96">
              <w:rPr>
                <w:rFonts w:ascii="Calibri" w:hAnsi="Calibri" w:cs="Calibri"/>
                <w:b/>
              </w:rPr>
              <w:t xml:space="preserve"> des extraits de films d'aventures ou un film d'aventures autant que possible adapté de l'un des livres étudiés ou proposés en lecture cursive.</w:t>
            </w:r>
            <w:r w:rsidRPr="00823B96">
              <w:rPr>
                <w:b/>
              </w:rPr>
              <w:t>6ième</w:t>
            </w:r>
          </w:p>
          <w:p w:rsidR="00C60B5D" w:rsidRPr="00823B96" w:rsidRDefault="00C60B5D">
            <w:pPr>
              <w:pStyle w:val="Standard"/>
              <w:spacing w:after="30" w:line="235" w:lineRule="auto"/>
              <w:ind w:left="29"/>
              <w:rPr>
                <w:b/>
              </w:rPr>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Découvrir des œuvres et des textes qui, par le monde qu’ils représentent et par l’histoire qu’ils racontent, tiennent en haleine le lecteur et l’entrainent dans la lecture ;</w:t>
            </w:r>
          </w:p>
          <w:p w:rsidR="00C60B5D" w:rsidRPr="00823B96" w:rsidRDefault="00C60B5D">
            <w:pPr>
              <w:pStyle w:val="Standard"/>
              <w:spacing w:after="30" w:line="235" w:lineRule="auto"/>
              <w:ind w:left="29"/>
              <w:rPr>
                <w:rFonts w:eastAsia="Times New Roman"/>
                <w:lang w:eastAsia="fr-FR"/>
              </w:rPr>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Comprendre pourquoi le récit capte l’attention du lecteur et la retient ;</w:t>
            </w:r>
          </w:p>
          <w:p w:rsidR="00C60B5D" w:rsidRPr="00823B96" w:rsidRDefault="00C60B5D">
            <w:pPr>
              <w:pStyle w:val="Standard"/>
              <w:spacing w:after="30" w:line="235" w:lineRule="auto"/>
              <w:ind w:left="29"/>
              <w:rPr>
                <w:rFonts w:eastAsia="Times New Roman"/>
                <w:lang w:eastAsia="fr-FR"/>
              </w:rPr>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rPr>
                <w:rFonts w:eastAsia="Garamond" w:cs="Garamond"/>
                <w:color w:val="181717"/>
                <w:lang w:eastAsia="fr-FR"/>
              </w:rPr>
            </w:pPr>
            <w:r w:rsidRPr="00823B96">
              <w:rPr>
                <w:rFonts w:eastAsia="Garamond" w:cs="Garamond"/>
                <w:color w:val="181717"/>
                <w:lang w:eastAsia="fr-FR"/>
              </w:rPr>
              <w:t>S’interroger sur les raisons de l’intérêt que l’on prend à leur lecture.</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5" w:lineRule="auto"/>
              <w:ind w:left="29"/>
              <w:jc w:val="center"/>
              <w:rPr>
                <w:b/>
              </w:rPr>
            </w:pPr>
            <w:r w:rsidRPr="00823B96">
              <w:rPr>
                <w:b/>
              </w:rPr>
              <w:t>6ième</w:t>
            </w:r>
          </w:p>
          <w:p w:rsidR="00C60B5D" w:rsidRPr="00823B96" w:rsidRDefault="001A1782">
            <w:pPr>
              <w:pStyle w:val="Standard"/>
              <w:spacing w:after="30" w:line="235" w:lineRule="auto"/>
              <w:ind w:left="29"/>
              <w:rPr>
                <w:b/>
              </w:rPr>
            </w:pPr>
            <w:r w:rsidRPr="00823B96">
              <w:rPr>
                <w:b/>
              </w:rPr>
              <w:t>Enjeux littéraires et de formation personnelle/ Récits de création et création poétique</w:t>
            </w:r>
          </w:p>
          <w:p w:rsidR="00C60B5D" w:rsidRPr="00823B96" w:rsidRDefault="001A1782">
            <w:pPr>
              <w:pStyle w:val="NormalWeb"/>
              <w:jc w:val="both"/>
            </w:pPr>
            <w:r w:rsidRPr="00823B96">
              <w:rPr>
                <w:rFonts w:ascii="Calibri" w:hAnsi="Calibri" w:cs="Calibri"/>
              </w:rPr>
              <w:t>En lien avec le programme d'histoire (thème 2 : « Croyances et récits fondateurs dans la Méditerranée antique au 1</w:t>
            </w:r>
            <w:r w:rsidRPr="00823B96">
              <w:rPr>
                <w:rFonts w:ascii="Calibri" w:hAnsi="Calibri" w:cs="Calibri"/>
                <w:vertAlign w:val="superscript"/>
              </w:rPr>
              <w:t>er</w:t>
            </w:r>
            <w:r w:rsidRPr="00823B96">
              <w:rPr>
                <w:rFonts w:ascii="Calibri" w:hAnsi="Calibri" w:cs="Calibri"/>
              </w:rPr>
              <w:t xml:space="preserve"> millénaire avant Jésus-Christ »), un extrait long de La Genèse dans la Bible (lecture intégrale) </w:t>
            </w:r>
          </w:p>
          <w:p w:rsidR="00C60B5D" w:rsidRPr="00823B96" w:rsidRDefault="001A1782">
            <w:pPr>
              <w:pStyle w:val="NormalWeb"/>
              <w:jc w:val="both"/>
            </w:pPr>
            <w:r w:rsidRPr="00823B96">
              <w:rPr>
                <w:rFonts w:ascii="Calibri" w:hAnsi="Calibri" w:cs="Calibri"/>
              </w:rPr>
              <w:t xml:space="preserve">- des extraits significatifs de plusieurs des grands récits de création d'autres cultures, choisis de manière à pouvoir opérer des comparaisons </w:t>
            </w:r>
            <w:r w:rsidRPr="00823B96">
              <w:rPr>
                <w:rFonts w:ascii="Calibri" w:hAnsi="Calibri" w:cs="Calibri"/>
                <w:b/>
                <w:bCs/>
              </w:rPr>
              <w:t>et</w:t>
            </w:r>
            <w:r w:rsidRPr="00823B96">
              <w:rPr>
                <w:rFonts w:ascii="Calibri" w:hAnsi="Calibri" w:cs="Calibri"/>
              </w:rPr>
              <w:t xml:space="preserve"> des poèmes de siècles différents, célébrant le monde et/ou témoignant du pouvoir créateur de la parole poétique.</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49" w:line="216" w:lineRule="auto"/>
              <w:ind w:right="151"/>
              <w:rPr>
                <w:rFonts w:eastAsia="Garamond" w:cs="Garamond"/>
                <w:color w:val="181717"/>
                <w:lang w:eastAsia="fr-FR"/>
              </w:rPr>
            </w:pPr>
            <w:r w:rsidRPr="00823B96">
              <w:rPr>
                <w:rFonts w:eastAsia="Garamond" w:cs="Garamond"/>
                <w:color w:val="181717"/>
                <w:lang w:eastAsia="fr-FR"/>
              </w:rPr>
              <w:t>Découvrir différents récits de création, appartenant à différentes cultures et des poèmes de célébration du monde et/ou manifestant la puissance créatrice de la parole poétique ;</w:t>
            </w:r>
          </w:p>
          <w:p w:rsidR="00C60B5D" w:rsidRPr="00823B96" w:rsidRDefault="00C60B5D">
            <w:pPr>
              <w:pStyle w:val="Standard"/>
              <w:spacing w:after="30" w:line="235" w:lineRule="auto"/>
              <w:ind w:left="29"/>
              <w:rPr>
                <w:rFonts w:eastAsia="Times New Roman"/>
                <w:lang w:eastAsia="fr-FR"/>
              </w:rPr>
            </w:pP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7" w:lineRule="auto"/>
              <w:ind w:left="29"/>
              <w:rPr>
                <w:rFonts w:eastAsia="Garamond" w:cs="Garamond"/>
                <w:color w:val="181717"/>
                <w:lang w:eastAsia="fr-FR"/>
              </w:rPr>
            </w:pPr>
            <w:r w:rsidRPr="00823B96">
              <w:rPr>
                <w:rFonts w:eastAsia="Garamond" w:cs="Garamond"/>
                <w:color w:val="181717"/>
                <w:lang w:eastAsia="fr-FR"/>
              </w:rPr>
              <w:t>Comprendre en quoi ces récits et ces créations poétiques répondent à des questions fondamentales, et en quoi ils témoignent d’une conception du monde ;</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7" w:lineRule="auto"/>
              <w:ind w:left="29"/>
              <w:rPr>
                <w:rFonts w:eastAsia="Garamond" w:cs="Garamond"/>
                <w:color w:val="181717"/>
                <w:lang w:eastAsia="fr-FR"/>
              </w:rPr>
            </w:pPr>
            <w:r w:rsidRPr="00823B96">
              <w:rPr>
                <w:rFonts w:eastAsia="Garamond" w:cs="Garamond"/>
                <w:color w:val="181717"/>
                <w:lang w:eastAsia="fr-FR"/>
              </w:rPr>
              <w:t>S’interroger sur le statut de ces textes, sur les valeurs qu’ils expriment, sur leurs ressemblances et leurs différences.</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30" w:line="237" w:lineRule="auto"/>
              <w:ind w:left="29"/>
              <w:jc w:val="center"/>
            </w:pPr>
            <w:r w:rsidRPr="00823B96">
              <w:rPr>
                <w:b/>
              </w:rPr>
              <w:t>6</w:t>
            </w:r>
            <w:r w:rsidRPr="00823B96">
              <w:rPr>
                <w:b/>
                <w:vertAlign w:val="superscript"/>
              </w:rPr>
              <w:t>ième</w:t>
            </w:r>
          </w:p>
          <w:p w:rsidR="00C60B5D" w:rsidRPr="00823B96" w:rsidRDefault="001A1782">
            <w:pPr>
              <w:pStyle w:val="Standard"/>
              <w:spacing w:after="30" w:line="237" w:lineRule="auto"/>
              <w:ind w:left="29"/>
              <w:jc w:val="center"/>
              <w:rPr>
                <w:b/>
              </w:rPr>
            </w:pPr>
            <w:r w:rsidRPr="00823B96">
              <w:rPr>
                <w:b/>
              </w:rPr>
              <w:t>Enjeux littéraires et de formation personnelle</w:t>
            </w:r>
          </w:p>
          <w:p w:rsidR="00C60B5D" w:rsidRPr="00823B96" w:rsidRDefault="001A1782">
            <w:pPr>
              <w:pStyle w:val="Standard"/>
              <w:spacing w:after="30" w:line="237" w:lineRule="auto"/>
              <w:ind w:left="29"/>
              <w:jc w:val="center"/>
              <w:rPr>
                <w:b/>
              </w:rPr>
            </w:pPr>
            <w:r w:rsidRPr="00823B96">
              <w:rPr>
                <w:b/>
              </w:rPr>
              <w:t>Résister au plus fort : ruses, mensonges et masques</w:t>
            </w:r>
          </w:p>
          <w:p w:rsidR="00C60B5D" w:rsidRPr="00823B96" w:rsidRDefault="00C60B5D">
            <w:pPr>
              <w:pStyle w:val="NormalWeb"/>
              <w:spacing w:before="0" w:after="0"/>
              <w:jc w:val="both"/>
              <w:rPr>
                <w:rFonts w:ascii="Calibri" w:eastAsia="Calibri" w:hAnsi="Calibri" w:cs="Calibri"/>
                <w:b/>
                <w:sz w:val="22"/>
                <w:szCs w:val="22"/>
                <w:lang w:eastAsia="en-US"/>
              </w:rPr>
            </w:pPr>
          </w:p>
          <w:p w:rsidR="00C60B5D" w:rsidRPr="00823B96" w:rsidRDefault="001A1782">
            <w:pPr>
              <w:pStyle w:val="NormalWeb"/>
              <w:spacing w:before="0" w:after="0"/>
              <w:jc w:val="both"/>
            </w:pPr>
            <w:r w:rsidRPr="00823B96">
              <w:rPr>
                <w:rFonts w:ascii="Calibri" w:eastAsia="Calibri" w:hAnsi="Calibri" w:cs="Calibri"/>
                <w:b/>
                <w:sz w:val="22"/>
                <w:szCs w:val="22"/>
                <w:lang w:eastAsia="en-US"/>
              </w:rPr>
              <w:t>D</w:t>
            </w:r>
            <w:r w:rsidRPr="00823B96">
              <w:rPr>
                <w:rFonts w:ascii="Calibri" w:hAnsi="Calibri" w:cs="Calibri"/>
              </w:rPr>
              <w:t xml:space="preserve">es fables et fabliaux, des farces ou soties développant des intrigues fondées sur la ruse et les rapports de pouvoir </w:t>
            </w:r>
            <w:r w:rsidRPr="00823B96">
              <w:rPr>
                <w:rFonts w:ascii="Calibri" w:hAnsi="Calibri" w:cs="Calibri"/>
                <w:b/>
                <w:bCs/>
              </w:rPr>
              <w:t>et</w:t>
            </w:r>
            <w:r w:rsidRPr="00823B96">
              <w:rPr>
                <w:rFonts w:ascii="Calibri" w:hAnsi="Calibri" w:cs="Calibri"/>
              </w:rPr>
              <w:t xml:space="preserve"> une pièce de théâtre (de l'Antiquité à nos jours) ou un film sur le même type de sujet (lecture ou étude intégrale).</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rsidRPr="00823B96">
        <w:tc>
          <w:tcPr>
            <w:tcW w:w="10290" w:type="dxa"/>
            <w:tcBorders>
              <w:left w:val="single" w:sz="2" w:space="0" w:color="000000"/>
              <w:bottom w:val="single" w:sz="2" w:space="0" w:color="000000"/>
            </w:tcBorders>
            <w:tcMar>
              <w:top w:w="55" w:type="dxa"/>
              <w:left w:w="55" w:type="dxa"/>
              <w:bottom w:w="55" w:type="dxa"/>
              <w:right w:w="55" w:type="dxa"/>
            </w:tcMar>
          </w:tcPr>
          <w:p w:rsidR="00C60B5D" w:rsidRPr="00823B96"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Découvrir des textes de différents genres mettant en scène les ruses et détours qu’invente le faible pour résister au plus fort ;</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Pr="00823B96" w:rsidRDefault="00C60B5D">
            <w:pPr>
              <w:pStyle w:val="TableContents"/>
            </w:pPr>
          </w:p>
        </w:tc>
      </w:tr>
      <w:tr w:rsidR="00C60B5D">
        <w:tc>
          <w:tcPr>
            <w:tcW w:w="10290" w:type="dxa"/>
            <w:tcBorders>
              <w:left w:val="single" w:sz="2" w:space="0" w:color="000000"/>
              <w:bottom w:val="single" w:sz="2" w:space="0" w:color="000000"/>
            </w:tcBorders>
            <w:tcMar>
              <w:top w:w="55" w:type="dxa"/>
              <w:left w:w="55" w:type="dxa"/>
              <w:bottom w:w="55" w:type="dxa"/>
              <w:right w:w="55" w:type="dxa"/>
            </w:tcMar>
          </w:tcPr>
          <w:p w:rsidR="00C60B5D" w:rsidRDefault="001A1782">
            <w:pPr>
              <w:pStyle w:val="Standard"/>
              <w:spacing w:after="52" w:line="216" w:lineRule="auto"/>
              <w:rPr>
                <w:rFonts w:eastAsia="Garamond" w:cs="Garamond"/>
                <w:color w:val="181717"/>
                <w:lang w:eastAsia="fr-FR"/>
              </w:rPr>
            </w:pPr>
            <w:r w:rsidRPr="00823B96">
              <w:rPr>
                <w:rFonts w:eastAsia="Garamond" w:cs="Garamond"/>
                <w:color w:val="181717"/>
                <w:lang w:eastAsia="fr-FR"/>
              </w:rPr>
              <w:t>Comprendre comment s’inventent et se déploient les ruses de l’intelligence aux dépens des puissants et quels sont les effets produits sur le lecteur ou le spectateur ;</w:t>
            </w:r>
          </w:p>
        </w:tc>
        <w:tc>
          <w:tcPr>
            <w:tcW w:w="48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0B5D" w:rsidRDefault="00C60B5D">
            <w:pPr>
              <w:pStyle w:val="TableContents"/>
            </w:pPr>
          </w:p>
        </w:tc>
      </w:tr>
    </w:tbl>
    <w:p w:rsidR="00C60B5D" w:rsidRDefault="00C60B5D">
      <w:pPr>
        <w:pStyle w:val="Standard"/>
      </w:pPr>
    </w:p>
    <w:sectPr w:rsidR="00C60B5D" w:rsidSect="001A1782">
      <w:headerReference w:type="default" r:id="rId7"/>
      <w:footerReference w:type="default" r:id="rId8"/>
      <w:footnotePr>
        <w:numRestart w:val="eachPage"/>
      </w:footnotePr>
      <w:pgSz w:w="11906" w:h="16838"/>
      <w:pgMar w:top="907" w:right="567" w:bottom="340" w:left="567" w:header="227"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BF" w:rsidRDefault="001F44BF">
      <w:r>
        <w:separator/>
      </w:r>
    </w:p>
  </w:endnote>
  <w:endnote w:type="continuationSeparator" w:id="0">
    <w:p w:rsidR="001F44BF" w:rsidRDefault="001F44BF">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82" w:rsidRDefault="001A1782">
    <w:pPr>
      <w:pStyle w:val="Pieddepage"/>
    </w:pPr>
    <w:r>
      <w:tab/>
    </w:r>
    <w:r w:rsidR="00837AE5">
      <w:fldChar w:fldCharType="begin"/>
    </w:r>
    <w:r>
      <w:instrText xml:space="preserve"> PAGE </w:instrText>
    </w:r>
    <w:r w:rsidR="00837AE5">
      <w:fldChar w:fldCharType="separate"/>
    </w:r>
    <w:r w:rsidR="00A2602C">
      <w:rPr>
        <w:noProof/>
      </w:rPr>
      <w:t>1</w:t>
    </w:r>
    <w:r w:rsidR="00837AE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BF" w:rsidRDefault="001F44BF">
      <w:r>
        <w:rPr>
          <w:color w:val="000000"/>
        </w:rPr>
        <w:separator/>
      </w:r>
    </w:p>
  </w:footnote>
  <w:footnote w:type="continuationSeparator" w:id="0">
    <w:p w:rsidR="001F44BF" w:rsidRDefault="001F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82" w:rsidRDefault="001A1782" w:rsidP="001A1782">
    <w:pPr>
      <w:pStyle w:val="En-tte"/>
      <w:jc w:val="center"/>
    </w:pPr>
    <w:r>
      <w:rPr>
        <w:b/>
        <w:bCs/>
        <w:sz w:val="26"/>
        <w:szCs w:val="26"/>
      </w:rPr>
      <w:t>E</w:t>
    </w:r>
    <w:r>
      <w:t xml:space="preserve">nseignement – </w:t>
    </w:r>
    <w:r>
      <w:rPr>
        <w:b/>
        <w:bCs/>
        <w:sz w:val="26"/>
        <w:szCs w:val="26"/>
      </w:rPr>
      <w:t>R</w:t>
    </w:r>
    <w:r>
      <w:t xml:space="preserve">éinvestissement – </w:t>
    </w:r>
    <w:r>
      <w:rPr>
        <w:b/>
        <w:bCs/>
        <w:sz w:val="26"/>
        <w:szCs w:val="26"/>
      </w:rPr>
      <w:t>A</w:t>
    </w:r>
    <w:r>
      <w:t>pprofondissement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429F"/>
    <w:multiLevelType w:val="multilevel"/>
    <w:tmpl w:val="1A860E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numRestart w:val="eachPage"/>
    <w:footnote w:id="-1"/>
    <w:footnote w:id="0"/>
  </w:footnotePr>
  <w:endnotePr>
    <w:endnote w:id="-1"/>
    <w:endnote w:id="0"/>
  </w:endnotePr>
  <w:compat>
    <w:useFELayout/>
  </w:compat>
  <w:rsids>
    <w:rsidRoot w:val="00C60B5D"/>
    <w:rsid w:val="000879F6"/>
    <w:rsid w:val="000B3E5A"/>
    <w:rsid w:val="000C0B52"/>
    <w:rsid w:val="001A1782"/>
    <w:rsid w:val="001F44BF"/>
    <w:rsid w:val="00326CEB"/>
    <w:rsid w:val="005006AA"/>
    <w:rsid w:val="00823B96"/>
    <w:rsid w:val="00837AE5"/>
    <w:rsid w:val="00961B75"/>
    <w:rsid w:val="00984B4E"/>
    <w:rsid w:val="00A2602C"/>
    <w:rsid w:val="00C60B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37AE5"/>
  </w:style>
  <w:style w:type="paragraph" w:customStyle="1" w:styleId="Heading">
    <w:name w:val="Heading"/>
    <w:basedOn w:val="Standard"/>
    <w:next w:val="Textbody"/>
    <w:rsid w:val="00837AE5"/>
    <w:pPr>
      <w:keepNext/>
      <w:spacing w:before="240" w:after="120"/>
    </w:pPr>
    <w:rPr>
      <w:rFonts w:ascii="Arial" w:eastAsia="Microsoft YaHei" w:hAnsi="Arial"/>
      <w:sz w:val="28"/>
      <w:szCs w:val="28"/>
    </w:rPr>
  </w:style>
  <w:style w:type="paragraph" w:customStyle="1" w:styleId="Textbody">
    <w:name w:val="Text body"/>
    <w:basedOn w:val="Standard"/>
    <w:rsid w:val="00837AE5"/>
    <w:pPr>
      <w:spacing w:after="120"/>
    </w:pPr>
  </w:style>
  <w:style w:type="paragraph" w:styleId="Liste">
    <w:name w:val="List"/>
    <w:basedOn w:val="Textbody"/>
    <w:rsid w:val="00837AE5"/>
  </w:style>
  <w:style w:type="paragraph" w:styleId="Lgende">
    <w:name w:val="caption"/>
    <w:basedOn w:val="Standard"/>
    <w:rsid w:val="00837AE5"/>
    <w:pPr>
      <w:suppressLineNumbers/>
      <w:spacing w:before="120" w:after="120"/>
    </w:pPr>
    <w:rPr>
      <w:i/>
      <w:iCs/>
    </w:rPr>
  </w:style>
  <w:style w:type="paragraph" w:customStyle="1" w:styleId="Index">
    <w:name w:val="Index"/>
    <w:basedOn w:val="Standard"/>
    <w:rsid w:val="00837AE5"/>
    <w:pPr>
      <w:suppressLineNumbers/>
    </w:pPr>
  </w:style>
  <w:style w:type="paragraph" w:customStyle="1" w:styleId="TableContents">
    <w:name w:val="Table Contents"/>
    <w:basedOn w:val="Standard"/>
    <w:rsid w:val="00837AE5"/>
    <w:pPr>
      <w:suppressLineNumbers/>
    </w:pPr>
  </w:style>
  <w:style w:type="paragraph" w:styleId="NormalWeb">
    <w:name w:val="Normal (Web)"/>
    <w:basedOn w:val="Standard"/>
    <w:rsid w:val="00837AE5"/>
    <w:pPr>
      <w:spacing w:before="280" w:after="280"/>
    </w:pPr>
    <w:rPr>
      <w:rFonts w:eastAsia="Times New Roman" w:cs="Times New Roman"/>
    </w:rPr>
  </w:style>
  <w:style w:type="paragraph" w:customStyle="1" w:styleId="Footnote">
    <w:name w:val="Footnote"/>
    <w:basedOn w:val="Standard"/>
    <w:rsid w:val="00837AE5"/>
    <w:pPr>
      <w:suppressLineNumbers/>
      <w:ind w:left="283" w:hanging="283"/>
    </w:pPr>
    <w:rPr>
      <w:sz w:val="20"/>
      <w:szCs w:val="20"/>
    </w:rPr>
  </w:style>
  <w:style w:type="paragraph" w:customStyle="1" w:styleId="Footerright">
    <w:name w:val="Footer right"/>
    <w:basedOn w:val="Standard"/>
    <w:rsid w:val="00837AE5"/>
    <w:pPr>
      <w:suppressLineNumbers/>
      <w:tabs>
        <w:tab w:val="center" w:pos="5386"/>
        <w:tab w:val="right" w:pos="10772"/>
      </w:tabs>
    </w:pPr>
  </w:style>
  <w:style w:type="paragraph" w:customStyle="1" w:styleId="TableHeading">
    <w:name w:val="Table Heading"/>
    <w:basedOn w:val="TableContents"/>
    <w:rsid w:val="00837AE5"/>
    <w:pPr>
      <w:jc w:val="center"/>
    </w:pPr>
    <w:rPr>
      <w:b/>
      <w:bCs/>
    </w:rPr>
  </w:style>
  <w:style w:type="paragraph" w:styleId="Pieddepage">
    <w:name w:val="footer"/>
    <w:basedOn w:val="Standard"/>
    <w:rsid w:val="00837AE5"/>
    <w:pPr>
      <w:suppressLineNumbers/>
      <w:tabs>
        <w:tab w:val="center" w:pos="5386"/>
        <w:tab w:val="right" w:pos="10772"/>
      </w:tabs>
    </w:pPr>
  </w:style>
  <w:style w:type="character" w:customStyle="1" w:styleId="BulletSymbols">
    <w:name w:val="Bullet Symbols"/>
    <w:rsid w:val="00837AE5"/>
    <w:rPr>
      <w:rFonts w:ascii="OpenSymbol" w:eastAsia="OpenSymbol" w:hAnsi="OpenSymbol" w:cs="OpenSymbol"/>
    </w:rPr>
  </w:style>
  <w:style w:type="character" w:customStyle="1" w:styleId="FootnoteSymbol">
    <w:name w:val="Footnote Symbol"/>
    <w:rsid w:val="00837AE5"/>
  </w:style>
  <w:style w:type="character" w:customStyle="1" w:styleId="Footnoteanchor">
    <w:name w:val="Footnote anchor"/>
    <w:rsid w:val="00837AE5"/>
    <w:rPr>
      <w:position w:val="0"/>
      <w:vertAlign w:val="superscript"/>
    </w:rPr>
  </w:style>
  <w:style w:type="character" w:styleId="Accentuation">
    <w:name w:val="Emphasis"/>
    <w:rsid w:val="00837AE5"/>
    <w:rPr>
      <w:i/>
      <w:iCs/>
    </w:rPr>
  </w:style>
  <w:style w:type="paragraph" w:styleId="En-tte">
    <w:name w:val="header"/>
    <w:basedOn w:val="Normal"/>
    <w:link w:val="En-tteCar"/>
    <w:uiPriority w:val="99"/>
    <w:unhideWhenUsed/>
    <w:rsid w:val="001A1782"/>
    <w:pPr>
      <w:tabs>
        <w:tab w:val="center" w:pos="4536"/>
        <w:tab w:val="right" w:pos="9072"/>
      </w:tabs>
    </w:pPr>
    <w:rPr>
      <w:rFonts w:cs="Mangal"/>
      <w:szCs w:val="21"/>
    </w:rPr>
  </w:style>
  <w:style w:type="character" w:customStyle="1" w:styleId="En-tteCar">
    <w:name w:val="En-tête Car"/>
    <w:basedOn w:val="Policepardfaut"/>
    <w:link w:val="En-tte"/>
    <w:uiPriority w:val="99"/>
    <w:rsid w:val="001A1782"/>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18321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Azizi</dc:creator>
  <cp:lastModifiedBy>professeur</cp:lastModifiedBy>
  <cp:revision>2</cp:revision>
  <cp:lastPrinted>2016-05-18T21:55:00Z</cp:lastPrinted>
  <dcterms:created xsi:type="dcterms:W3CDTF">2016-07-05T07:33:00Z</dcterms:created>
  <dcterms:modified xsi:type="dcterms:W3CDTF">2016-07-05T07:33:00Z</dcterms:modified>
</cp:coreProperties>
</file>